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440" w:lineRule="auto"/>
        <w:rPr>
          <w:rFonts w:ascii="Calibri" w:cs="Calibri" w:eastAsia="Calibri" w:hAnsi="Calibri"/>
        </w:rPr>
      </w:pPr>
      <w:r w:rsidDel="00000000" w:rsidR="00000000" w:rsidRPr="00000000">
        <w:rPr>
          <w:rFonts w:ascii="Calibri" w:cs="Calibri" w:eastAsia="Calibri" w:hAnsi="Calibri"/>
          <w:b w:val="1"/>
          <w:bCs w:val="1"/>
          <w:color w:val="147d7e"/>
          <w:rtl w:val="0"/>
        </w:rPr>
        <w:t xml:space="preserve">CLIENT WORKBOOK + TEMPLATE</w:t>
      </w:r>
      <w:r w:rsidDel="00000000" w:rsidR="00000000" w:rsidRPr="00000000">
        <w:rPr>
          <w:rtl w:val="0"/>
        </w:rPr>
      </w:r>
    </w:p>
    <w:p w:rsidR="00000000" w:rsidDel="00000000" w:rsidP="00000000" w:rsidRDefault="00000000" w:rsidRPr="00000000" w14:paraId="00000002">
      <w:pPr>
        <w:pStyle w:val="Title"/>
        <w:rPr/>
      </w:pPr>
      <w:r w:rsidDel="00000000" w:rsidR="00000000" w:rsidRPr="00000000">
        <w:rPr>
          <w:rtl w:val="0"/>
        </w:rPr>
        <w:t xml:space="preserve">DOE SBIR/STTR Project Pitch</w:t>
      </w:r>
    </w:p>
    <w:p w:rsidR="00000000" w:rsidDel="00000000" w:rsidP="00000000" w:rsidRDefault="00000000" w:rsidRPr="00000000" w14:paraId="00000003">
      <w:pPr>
        <w:pStyle w:val="Subtitle"/>
        <w:rPr/>
      </w:pPr>
      <w:r w:rsidDel="00000000" w:rsidR="00000000" w:rsidRPr="00000000">
        <w:rPr>
          <w:i w:val="0"/>
          <w:iCs w:val="0"/>
          <w:rtl w:val="0"/>
        </w:rPr>
        <w:t xml:space="preserve">A practical, reviewer-aligned guide for earning an invitation to submit a full Phase I application</w:t>
      </w:r>
      <w:r w:rsidDel="00000000" w:rsidR="00000000" w:rsidRPr="00000000">
        <w:rPr>
          <w:rtl w:val="0"/>
        </w:rPr>
      </w:r>
    </w:p>
    <w:tbl>
      <w:tblPr>
        <w:tblStyle w:val="Table1"/>
        <w:tblW w:w="9360.0" w:type="dxa"/>
        <w:jc w:val="left"/>
        <w:tblLayout w:type="fixed"/>
        <w:tblLook w:val="0400"/>
      </w:tblPr>
      <w:tblGrid>
        <w:gridCol w:w="9360"/>
        <w:tblGridChange w:id="0">
          <w:tblGrid>
            <w:gridCol w:w="9360"/>
          </w:tblGrid>
        </w:tblGridChange>
      </w:tblGrid>
      <w:tr>
        <w:trPr>
          <w:cantSplit w:val="0"/>
          <w:tblHeader w:val="0"/>
        </w:trPr>
        <w:tc>
          <w:tcPr>
            <w:shd w:fill="e8f3f2" w:val="clear"/>
            <w:tcMar>
              <w:top w:w="110.0" w:type="dxa"/>
              <w:left w:w="120.0" w:type="dxa"/>
              <w:bottom w:w="110.0" w:type="dxa"/>
              <w:right w:w="120.0" w:type="dxa"/>
            </w:tcMar>
            <w:vAlign w:val="center"/>
          </w:tcPr>
          <w:p w:rsidR="00000000" w:rsidDel="00000000" w:rsidP="00000000" w:rsidRDefault="00000000" w:rsidRPr="00000000" w14:paraId="00000004">
            <w:pPr>
              <w:spacing w:after="0" w:lineRule="auto"/>
              <w:rPr>
                <w:rFonts w:ascii="Calibri" w:cs="Calibri" w:eastAsia="Calibri" w:hAnsi="Calibri"/>
              </w:rPr>
            </w:pPr>
            <w:r w:rsidDel="00000000" w:rsidR="00000000" w:rsidRPr="00000000">
              <w:rPr>
                <w:rFonts w:ascii="Calibri" w:cs="Calibri" w:eastAsia="Calibri" w:hAnsi="Calibri"/>
                <w:b w:val="1"/>
                <w:bCs w:val="1"/>
                <w:color w:val="147d7e"/>
                <w:sz w:val="21"/>
                <w:szCs w:val="21"/>
                <w:rtl w:val="0"/>
              </w:rPr>
              <w:t xml:space="preserve">SCOPE: </w:t>
            </w:r>
            <w:r w:rsidDel="00000000" w:rsidR="00000000" w:rsidRPr="00000000">
              <w:rPr>
                <w:rFonts w:ascii="Calibri" w:cs="Calibri" w:eastAsia="Calibri" w:hAnsi="Calibri"/>
                <w:sz w:val="21"/>
                <w:szCs w:val="21"/>
                <w:rtl w:val="0"/>
              </w:rPr>
              <w:t xml:space="preserve">This workbook covers the new U.S. Department of Energy SBIR/STTR Phase I pitch gateway, first used for the FY26 Genesis Mission opportunity. It does not apply automatically to every DOE grant, cooperative agreement, prize, or procurement.</w:t>
            </w:r>
            <w:r w:rsidDel="00000000" w:rsidR="00000000" w:rsidRPr="00000000">
              <w:rPr>
                <w:rtl w:val="0"/>
              </w:rPr>
            </w:r>
          </w:p>
        </w:tc>
      </w:tr>
    </w:tbl>
    <w:p w:rsidR="00000000" w:rsidDel="00000000" w:rsidP="00000000" w:rsidRDefault="00000000" w:rsidRPr="00000000" w14:paraId="00000005">
      <w:pPr>
        <w:pStyle w:val="Heading1"/>
        <w:rPr/>
      </w:pPr>
      <w:r w:rsidDel="00000000" w:rsidR="00000000" w:rsidRPr="00000000">
        <w:rPr>
          <w:rtl w:val="0"/>
        </w:rPr>
        <w:t xml:space="preserve">The one-sentence rule</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color w:val="17365d"/>
          <w:sz w:val="28"/>
          <w:szCs w:val="28"/>
          <w:rtl w:val="0"/>
        </w:rPr>
        <w:t xml:space="preserve">No invitation = No full Phase I application.</w:t>
      </w:r>
      <w:r w:rsidDel="00000000" w:rsidR="00000000" w:rsidRPr="00000000">
        <w:rPr>
          <w:rFonts w:ascii="Calibri" w:cs="Calibri" w:eastAsia="Calibri" w:hAnsi="Calibri"/>
          <w:sz w:val="22"/>
          <w:szCs w:val="22"/>
          <w:rtl w:val="0"/>
        </w:rPr>
        <w:t xml:space="preserve"> DOE uses the short pitch to decide whether the innovation is suitable for the program and merits a full review.</w:t>
      </w:r>
      <w:r w:rsidDel="00000000" w:rsidR="00000000" w:rsidRPr="00000000">
        <w:rPr>
          <w:rtl w:val="0"/>
        </w:rPr>
      </w:r>
    </w:p>
    <w:p w:rsidR="00000000" w:rsidDel="00000000" w:rsidP="00000000" w:rsidRDefault="00000000" w:rsidRPr="00000000" w14:paraId="00000007">
      <w:pPr>
        <w:pStyle w:val="Heading2"/>
        <w:rPr/>
      </w:pPr>
      <w:r w:rsidDel="00000000" w:rsidR="00000000" w:rsidRPr="00000000">
        <w:rPr>
          <w:rtl w:val="0"/>
        </w:rPr>
        <w:t xml:space="preserve">What this workbook helps you do</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Confirm that your company, technology, topic, and proposed R&amp;D are ready for the pitch gate.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Draft against DOE's four current review areas: mission alignment, technical promise, commercialization potential, and team qualifications.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Use tight evidence and measurable claims without overpromising or drifting outside the published topic.</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Run a final compliance and reviewer-readability check before entering content in AMP.</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workbook will also help you answer these four questions </w:t>
      </w:r>
      <w:r w:rsidDel="00000000" w:rsidR="00000000" w:rsidRPr="00000000">
        <w:rPr>
          <w:rFonts w:ascii="Calibri" w:cs="Calibri" w:eastAsia="Calibri" w:hAnsi="Calibri"/>
          <w:b w:val="1"/>
          <w:bCs w:val="1"/>
          <w:sz w:val="22"/>
          <w:szCs w:val="22"/>
          <w:rtl w:val="0"/>
        </w:rPr>
        <w:t xml:space="preserve">Why this DOE topic? Why this technical approach? Why will somebody buy/use it? Why this team?</w:t>
      </w:r>
    </w:p>
    <w:p w:rsidR="00000000" w:rsidDel="00000000" w:rsidP="00000000" w:rsidRDefault="00000000" w:rsidRPr="00000000" w14:paraId="0000000D">
      <w:pPr>
        <w:numPr>
          <w:ilvl w:val="0"/>
          <w:numId w:val="2"/>
        </w:numPr>
        <w:spacing w:line="300" w:lineRule="auto"/>
        <w:ind w:left="360" w:hanging="360"/>
        <w:rPr>
          <w:rFonts w:ascii="Calibri" w:cs="Calibri" w:eastAsia="Calibri" w:hAnsi="Calibri"/>
          <w:b w:val="1"/>
          <w:bCs w:val="1"/>
          <w:sz w:val="22"/>
          <w:szCs w:val="22"/>
        </w:rPr>
      </w:pPr>
      <w:r w:rsidDel="00000000" w:rsidR="00000000" w:rsidRPr="00000000">
        <w:rPr>
          <w:rFonts w:ascii="Calibri" w:cs="Calibri" w:eastAsia="Calibri" w:hAnsi="Calibri"/>
          <w:b w:val="1"/>
          <w:bCs w:val="1"/>
          <w:color w:val="980000"/>
          <w:sz w:val="22"/>
          <w:szCs w:val="22"/>
          <w:rtl w:val="0"/>
        </w:rPr>
        <w:t xml:space="preserve">Pitches should not include proprietary or business-sensitive information.</w:t>
      </w:r>
      <w:r w:rsidDel="00000000" w:rsidR="00000000" w:rsidRPr="00000000">
        <w:rPr>
          <w:rFonts w:ascii="Calibri" w:cs="Calibri" w:eastAsia="Calibri" w:hAnsi="Calibri"/>
          <w:color w:val="980000"/>
          <w:sz w:val="22"/>
          <w:szCs w:val="22"/>
          <w:rtl w:val="0"/>
        </w:rPr>
        <w:t xml:space="preserve"> </w:t>
      </w:r>
      <w:r w:rsidDel="00000000" w:rsidR="00000000" w:rsidRPr="00000000">
        <w:rPr>
          <w:rtl w:val="0"/>
        </w:rPr>
      </w:r>
    </w:p>
    <w:p w:rsidR="00000000" w:rsidDel="00000000" w:rsidP="00000000" w:rsidRDefault="00000000" w:rsidRPr="00000000" w14:paraId="0000000E">
      <w:pPr>
        <w:pStyle w:val="Heading2"/>
        <w:rPr>
          <w:sz w:val="30"/>
          <w:szCs w:val="30"/>
        </w:rPr>
      </w:pPr>
      <w:bookmarkStart w:colFirst="0" w:colLast="0" w:name="_24qhj9y0wowr" w:id="0"/>
      <w:bookmarkEnd w:id="0"/>
      <w:r w:rsidDel="00000000" w:rsidR="00000000" w:rsidRPr="00000000">
        <w:rPr>
          <w:rtl w:val="0"/>
        </w:rPr>
        <w:t xml:space="preserve">Key Details for the Genesis Mission Pitch</w:t>
      </w:r>
      <w:r w:rsidDel="00000000" w:rsidR="00000000" w:rsidRPr="00000000">
        <w:rPr>
          <w:rtl w:val="0"/>
        </w:rPr>
      </w:r>
    </w:p>
    <w:p w:rsidR="00000000" w:rsidDel="00000000" w:rsidP="00000000" w:rsidRDefault="00000000" w:rsidRPr="00000000" w14:paraId="0000000F">
      <w:pPr>
        <w:numPr>
          <w:ilvl w:val="0"/>
          <w:numId w:val="1"/>
        </w:numPr>
        <w:spacing w:after="0" w:afterAutospacing="0" w:before="180" w:line="300" w:lineRule="auto"/>
        <w:ind w:left="360" w:hanging="360"/>
        <w:rPr>
          <w:sz w:val="22"/>
          <w:szCs w:val="22"/>
        </w:rPr>
      </w:pPr>
      <w:r w:rsidDel="00000000" w:rsidR="00000000" w:rsidRPr="00000000">
        <w:rPr>
          <w:rFonts w:ascii="Calibri" w:cs="Calibri" w:eastAsia="Calibri" w:hAnsi="Calibri"/>
          <w:b w:val="1"/>
          <w:bCs w:val="1"/>
          <w:sz w:val="22"/>
          <w:szCs w:val="22"/>
          <w:rtl w:val="0"/>
        </w:rPr>
        <w:t xml:space="preserve">Deadline Date:</w:t>
      </w:r>
      <w:r w:rsidDel="00000000" w:rsidR="00000000" w:rsidRPr="00000000">
        <w:rPr>
          <w:rFonts w:ascii="Calibri" w:cs="Calibri" w:eastAsia="Calibri" w:hAnsi="Calibri"/>
          <w:sz w:val="22"/>
          <w:szCs w:val="22"/>
          <w:rtl w:val="0"/>
        </w:rPr>
        <w:t xml:space="preserve"> September 10, 2026</w:t>
      </w:r>
    </w:p>
    <w:p w:rsidR="00000000" w:rsidDel="00000000" w:rsidP="00000000" w:rsidRDefault="00000000" w:rsidRPr="00000000" w14:paraId="00000010">
      <w:pPr>
        <w:numPr>
          <w:ilvl w:val="0"/>
          <w:numId w:val="1"/>
        </w:numPr>
        <w:spacing w:after="0" w:afterAutospacing="0" w:before="0" w:beforeAutospacing="0" w:line="300" w:lineRule="auto"/>
        <w:ind w:left="360" w:hanging="360"/>
        <w:rPr>
          <w:sz w:val="22"/>
          <w:szCs w:val="22"/>
        </w:rPr>
      </w:pPr>
      <w:r w:rsidDel="00000000" w:rsidR="00000000" w:rsidRPr="00000000">
        <w:rPr>
          <w:rFonts w:ascii="Calibri" w:cs="Calibri" w:eastAsia="Calibri" w:hAnsi="Calibri"/>
          <w:b w:val="1"/>
          <w:bCs w:val="1"/>
          <w:sz w:val="22"/>
          <w:szCs w:val="22"/>
          <w:rtl w:val="0"/>
        </w:rPr>
        <w:t xml:space="preserve">Deadline Time:</w:t>
      </w:r>
      <w:r w:rsidDel="00000000" w:rsidR="00000000" w:rsidRPr="00000000">
        <w:rPr>
          <w:rFonts w:ascii="Calibri" w:cs="Calibri" w:eastAsia="Calibri" w:hAnsi="Calibri"/>
          <w:sz w:val="22"/>
          <w:szCs w:val="22"/>
          <w:rtl w:val="0"/>
        </w:rPr>
        <w:t xml:space="preserve"> 2:00 PM ET (1:00 PM CT)</w:t>
      </w:r>
    </w:p>
    <w:p w:rsidR="00000000" w:rsidDel="00000000" w:rsidP="00000000" w:rsidRDefault="00000000" w:rsidRPr="00000000" w14:paraId="00000011">
      <w:pPr>
        <w:numPr>
          <w:ilvl w:val="0"/>
          <w:numId w:val="1"/>
        </w:numPr>
        <w:spacing w:after="0" w:afterAutospacing="0" w:before="0" w:beforeAutospacing="0" w:line="300" w:lineRule="auto"/>
        <w:ind w:left="360" w:hanging="360"/>
        <w:rPr>
          <w:sz w:val="22"/>
          <w:szCs w:val="22"/>
        </w:rPr>
      </w:pPr>
      <w:r w:rsidDel="00000000" w:rsidR="00000000" w:rsidRPr="00000000">
        <w:rPr>
          <w:rFonts w:ascii="Calibri" w:cs="Calibri" w:eastAsia="Calibri" w:hAnsi="Calibri"/>
          <w:b w:val="1"/>
          <w:bCs w:val="1"/>
          <w:sz w:val="22"/>
          <w:szCs w:val="22"/>
          <w:rtl w:val="0"/>
        </w:rPr>
        <w:t xml:space="preserve">Submission Portal:</w:t>
      </w:r>
      <w:r w:rsidDel="00000000" w:rsidR="00000000" w:rsidRPr="00000000">
        <w:rPr>
          <w:rFonts w:ascii="Calibri" w:cs="Calibri" w:eastAsia="Calibri" w:hAnsi="Calibri"/>
          <w:sz w:val="22"/>
          <w:szCs w:val="22"/>
          <w:rtl w:val="0"/>
        </w:rPr>
        <w:t xml:space="preserve"> DOE SBIR/STTR Application Hub</w:t>
      </w:r>
    </w:p>
    <w:p w:rsidR="00000000" w:rsidDel="00000000" w:rsidP="00000000" w:rsidRDefault="00000000" w:rsidRPr="00000000" w14:paraId="00000012">
      <w:pPr>
        <w:numPr>
          <w:ilvl w:val="0"/>
          <w:numId w:val="1"/>
        </w:numPr>
        <w:spacing w:after="420" w:before="0" w:beforeAutospacing="0" w:line="300" w:lineRule="auto"/>
        <w:ind w:left="360" w:hanging="360"/>
        <w:rPr>
          <w:sz w:val="22"/>
          <w:szCs w:val="22"/>
        </w:rPr>
      </w:pPr>
      <w:r w:rsidDel="00000000" w:rsidR="00000000" w:rsidRPr="00000000">
        <w:rPr>
          <w:rFonts w:ascii="Calibri" w:cs="Calibri" w:eastAsia="Calibri" w:hAnsi="Calibri"/>
          <w:b w:val="1"/>
          <w:bCs w:val="1"/>
          <w:sz w:val="22"/>
          <w:szCs w:val="22"/>
          <w:rtl w:val="0"/>
        </w:rPr>
        <w:t xml:space="preserve">Focus Areas:</w:t>
      </w:r>
      <w:r w:rsidDel="00000000" w:rsidR="00000000" w:rsidRPr="00000000">
        <w:rPr>
          <w:rFonts w:ascii="Calibri" w:cs="Calibri" w:eastAsia="Calibri" w:hAnsi="Calibri"/>
          <w:sz w:val="22"/>
          <w:szCs w:val="22"/>
          <w:rtl w:val="0"/>
        </w:rPr>
        <w:t xml:space="preserve"> Scaling the Biotechnology Revolution, Realizing Quantum Systems for Discovery, Designing Materials with Predictable Functionality, and Achieving AI-Driven Autonomous Laboratories</w:t>
      </w:r>
      <w:r w:rsidDel="00000000" w:rsidR="00000000" w:rsidRPr="00000000">
        <w:rPr>
          <w:rtl w:val="0"/>
        </w:rPr>
      </w:r>
    </w:p>
    <w:p w:rsidR="00000000" w:rsidDel="00000000" w:rsidP="00000000" w:rsidRDefault="00000000" w:rsidRPr="00000000" w14:paraId="00000013">
      <w:pPr>
        <w:pageBreakBefore w:val="1"/>
        <w:rPr>
          <w:rFonts w:ascii="Calibri" w:cs="Calibri" w:eastAsia="Calibri" w:hAnsi="Calibri"/>
        </w:rPr>
      </w:pPr>
      <w:r w:rsidDel="00000000" w:rsidR="00000000" w:rsidRPr="00000000">
        <w:rPr>
          <w:rtl w:val="0"/>
        </w:rPr>
      </w:r>
    </w:p>
    <w:p w:rsidR="00000000" w:rsidDel="00000000" w:rsidP="00000000" w:rsidRDefault="00000000" w:rsidRPr="00000000" w14:paraId="00000014">
      <w:pPr>
        <w:pStyle w:val="Heading1"/>
        <w:rPr/>
      </w:pPr>
      <w:r w:rsidDel="00000000" w:rsidR="00000000" w:rsidRPr="00000000">
        <w:rPr>
          <w:rtl w:val="0"/>
        </w:rPr>
        <w:t xml:space="preserve">1. Understand the Pitch-First Process</w:t>
      </w:r>
    </w:p>
    <w:tbl>
      <w:tblPr>
        <w:tblStyle w:val="Table2"/>
        <w:tblW w:w="9360.0" w:type="dxa"/>
        <w:jc w:val="left"/>
        <w:tblLayout w:type="fixed"/>
        <w:tblLook w:val="0400"/>
      </w:tblPr>
      <w:tblGrid>
        <w:gridCol w:w="2050"/>
        <w:gridCol w:w="2300"/>
        <w:gridCol w:w="2500"/>
        <w:gridCol w:w="2510"/>
        <w:tblGridChange w:id="0">
          <w:tblGrid>
            <w:gridCol w:w="2050"/>
            <w:gridCol w:w="2300"/>
            <w:gridCol w:w="2500"/>
            <w:gridCol w:w="2510"/>
          </w:tblGrid>
        </w:tblGridChange>
      </w:tblGrid>
      <w:tr>
        <w:trPr>
          <w:cantSplit w:val="0"/>
          <w:tblHeader w:val="1"/>
        </w:trPr>
        <w:tc>
          <w:tcPr>
            <w:shd w:fill="17365d" w:val="clear"/>
            <w:tcMar>
              <w:top w:w="110.0" w:type="dxa"/>
              <w:left w:w="120.0" w:type="dxa"/>
              <w:bottom w:w="110.0" w:type="dxa"/>
              <w:right w:w="120.0" w:type="dxa"/>
            </w:tcMar>
          </w:tcPr>
          <w:p w:rsidR="00000000" w:rsidDel="00000000" w:rsidP="00000000" w:rsidRDefault="00000000" w:rsidRPr="00000000" w14:paraId="00000015">
            <w:pPr>
              <w:jc w:val="center"/>
              <w:rPr>
                <w:rFonts w:ascii="Calibri" w:cs="Calibri" w:eastAsia="Calibri" w:hAnsi="Calibri"/>
              </w:rPr>
            </w:pPr>
            <w:r w:rsidDel="00000000" w:rsidR="00000000" w:rsidRPr="00000000">
              <w:rPr>
                <w:rFonts w:ascii="Calibri" w:cs="Calibri" w:eastAsia="Calibri" w:hAnsi="Calibri"/>
                <w:b w:val="1"/>
                <w:bCs w:val="1"/>
                <w:color w:val="ffffff"/>
                <w:sz w:val="21"/>
                <w:szCs w:val="21"/>
                <w:rtl w:val="0"/>
              </w:rPr>
              <w:t xml:space="preserve">1 Select</w:t>
            </w:r>
            <w:r w:rsidDel="00000000" w:rsidR="00000000" w:rsidRPr="00000000">
              <w:rPr>
                <w:rtl w:val="0"/>
              </w:rPr>
            </w:r>
          </w:p>
        </w:tc>
        <w:tc>
          <w:tcPr>
            <w:shd w:fill="147d7e" w:val="clear"/>
            <w:tcMar>
              <w:top w:w="110.0" w:type="dxa"/>
              <w:left w:w="120.0" w:type="dxa"/>
              <w:bottom w:w="110.0" w:type="dxa"/>
              <w:right w:w="120.0" w:type="dxa"/>
            </w:tcMar>
          </w:tcPr>
          <w:p w:rsidR="00000000" w:rsidDel="00000000" w:rsidP="00000000" w:rsidRDefault="00000000" w:rsidRPr="00000000" w14:paraId="00000016">
            <w:pPr>
              <w:jc w:val="center"/>
              <w:rPr>
                <w:rFonts w:ascii="Calibri" w:cs="Calibri" w:eastAsia="Calibri" w:hAnsi="Calibri"/>
              </w:rPr>
            </w:pPr>
            <w:r w:rsidDel="00000000" w:rsidR="00000000" w:rsidRPr="00000000">
              <w:rPr>
                <w:rFonts w:ascii="Calibri" w:cs="Calibri" w:eastAsia="Calibri" w:hAnsi="Calibri"/>
                <w:b w:val="1"/>
                <w:bCs w:val="1"/>
                <w:color w:val="ffffff"/>
                <w:sz w:val="21"/>
                <w:szCs w:val="21"/>
                <w:rtl w:val="0"/>
              </w:rPr>
              <w:t xml:space="preserve">2 Pitch</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017">
            <w:pPr>
              <w:jc w:val="center"/>
              <w:rPr>
                <w:rFonts w:ascii="Calibri" w:cs="Calibri" w:eastAsia="Calibri" w:hAnsi="Calibri"/>
              </w:rPr>
            </w:pPr>
            <w:r w:rsidDel="00000000" w:rsidR="00000000" w:rsidRPr="00000000">
              <w:rPr>
                <w:rFonts w:ascii="Calibri" w:cs="Calibri" w:eastAsia="Calibri" w:hAnsi="Calibri"/>
                <w:b w:val="1"/>
                <w:bCs w:val="1"/>
                <w:color w:val="ffffff"/>
                <w:sz w:val="21"/>
                <w:szCs w:val="21"/>
                <w:rtl w:val="0"/>
              </w:rPr>
              <w:t xml:space="preserve">3 Invitation</w:t>
            </w:r>
            <w:r w:rsidDel="00000000" w:rsidR="00000000" w:rsidRPr="00000000">
              <w:rPr>
                <w:rtl w:val="0"/>
              </w:rPr>
            </w:r>
          </w:p>
        </w:tc>
        <w:tc>
          <w:tcPr>
            <w:shd w:fill="147d7e" w:val="clear"/>
            <w:tcMar>
              <w:top w:w="110.0" w:type="dxa"/>
              <w:left w:w="120.0" w:type="dxa"/>
              <w:bottom w:w="110.0" w:type="dxa"/>
              <w:right w:w="120.0" w:type="dxa"/>
            </w:tcMar>
          </w:tcPr>
          <w:p w:rsidR="00000000" w:rsidDel="00000000" w:rsidP="00000000" w:rsidRDefault="00000000" w:rsidRPr="00000000" w14:paraId="00000018">
            <w:pPr>
              <w:jc w:val="center"/>
              <w:rPr>
                <w:rFonts w:ascii="Calibri" w:cs="Calibri" w:eastAsia="Calibri" w:hAnsi="Calibri"/>
              </w:rPr>
            </w:pPr>
            <w:r w:rsidDel="00000000" w:rsidR="00000000" w:rsidRPr="00000000">
              <w:rPr>
                <w:rFonts w:ascii="Calibri" w:cs="Calibri" w:eastAsia="Calibri" w:hAnsi="Calibri"/>
                <w:b w:val="1"/>
                <w:bCs w:val="1"/>
                <w:color w:val="ffffff"/>
                <w:sz w:val="21"/>
                <w:szCs w:val="21"/>
                <w:rtl w:val="0"/>
              </w:rPr>
              <w:t xml:space="preserve">4 Full application</w:t>
            </w:r>
            <w:r w:rsidDel="00000000" w:rsidR="00000000" w:rsidRPr="00000000">
              <w:rPr>
                <w:rtl w:val="0"/>
              </w:rPr>
            </w:r>
          </w:p>
        </w:tc>
      </w:tr>
      <w:tr>
        <w:trPr>
          <w:cantSplit w:val="0"/>
          <w:tblHeader w:val="0"/>
        </w:trPr>
        <w:tc>
          <w:tcPr>
            <w:shd w:fill="f5f7f9" w:val="clear"/>
          </w:tcPr>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sz w:val="19"/>
                <w:szCs w:val="19"/>
                <w:rtl w:val="0"/>
              </w:rPr>
              <w:t xml:space="preserve">Choose the exact DOE topic and prime small business.</w:t>
            </w:r>
            <w:r w:rsidDel="00000000" w:rsidR="00000000" w:rsidRPr="00000000">
              <w:rPr>
                <w:rtl w:val="0"/>
              </w:rPr>
            </w:r>
          </w:p>
        </w:tc>
        <w:tc>
          <w:tcPr>
            <w:shd w:fill="f5f7f9" w:val="clear"/>
          </w:tcPr>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sz w:val="19"/>
                <w:szCs w:val="19"/>
                <w:rtl w:val="0"/>
              </w:rPr>
              <w:t xml:space="preserve">Answer four open-text questions in AMP; an optional bibliography may be allowed.</w:t>
            </w:r>
            <w:r w:rsidDel="00000000" w:rsidR="00000000" w:rsidRPr="00000000">
              <w:rPr>
                <w:rtl w:val="0"/>
              </w:rPr>
            </w:r>
          </w:p>
        </w:tc>
        <w:tc>
          <w:tcPr>
            <w:shd w:fill="f5f7f9" w:val="clear"/>
          </w:tcPr>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sz w:val="19"/>
                <w:szCs w:val="19"/>
                <w:rtl w:val="0"/>
              </w:rPr>
              <w:t xml:space="preserve">DOE/ConnectWerx notifies the applicant by email; the status appears in AMP.</w:t>
            </w:r>
            <w:r w:rsidDel="00000000" w:rsidR="00000000" w:rsidRPr="00000000">
              <w:rPr>
                <w:rtl w:val="0"/>
              </w:rPr>
            </w:r>
          </w:p>
        </w:tc>
        <w:tc>
          <w:tcPr>
            <w:shd w:fill="f5f7f9" w:val="clear"/>
          </w:tcPr>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sz w:val="19"/>
                <w:szCs w:val="19"/>
                <w:rtl w:val="0"/>
              </w:rPr>
              <w:t xml:space="preserve">Only invited companies may continue for that project.</w:t>
            </w:r>
            <w:r w:rsidDel="00000000" w:rsidR="00000000" w:rsidRPr="00000000">
              <w:rPr>
                <w:rtl w:val="0"/>
              </w:rPr>
            </w:r>
          </w:p>
        </w:tc>
      </w:tr>
    </w:tbl>
    <w:p w:rsidR="00000000" w:rsidDel="00000000" w:rsidP="00000000" w:rsidRDefault="00000000" w:rsidRPr="00000000" w14:paraId="0000001D">
      <w:pPr>
        <w:pStyle w:val="Heading2"/>
        <w:rPr/>
      </w:pPr>
      <w:r w:rsidDel="00000000" w:rsidR="00000000" w:rsidRPr="00000000">
        <w:rPr>
          <w:rtl w:val="0"/>
        </w:rPr>
        <w:t xml:space="preserve">Confirmed operating rules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The pitch is mandatory for new Phase I entrants under the new DOE SBIR/STTR process; missing the pitch window or receiving a decline ends that application path.</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A company may submit up to three pitches total across topic areas. If more than three are submitted, DOE says only the three most recent will be reviewed.</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The pitch contains four open-text questions with strict word limits. DOE recommends drafting outside the portal, then pasting the final text into AMP.</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The selected topic and prime small business cannot change between the pitch and the full application. A slight title change is permitted.</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Letters of commitment are not required at the pitch stage, but credible active partnerships can strengthen the team’s case.</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DOE may decline a pitch without full review if it is nonresponsive, not R&amp;D, insufficient for technical review, duplicative of DOE-funded work, inappropriate, or ineligible.</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Applicants must disclose whether and how generative AI was used. DOE and its Partnership Intermediary state that they may use AI to evaluate application information, including proprietary information.</w:t>
      </w:r>
      <w:r w:rsidDel="00000000" w:rsidR="00000000" w:rsidRPr="00000000">
        <w:rPr>
          <w:rtl w:val="0"/>
        </w:rPr>
      </w:r>
    </w:p>
    <w:tbl>
      <w:tblPr>
        <w:tblStyle w:val="Table3"/>
        <w:tblW w:w="9360.0" w:type="dxa"/>
        <w:jc w:val="left"/>
        <w:tblLayout w:type="fixed"/>
        <w:tblLook w:val="0400"/>
      </w:tblPr>
      <w:tblGrid>
        <w:gridCol w:w="9360"/>
        <w:tblGridChange w:id="0">
          <w:tblGrid>
            <w:gridCol w:w="9360"/>
          </w:tblGrid>
        </w:tblGridChange>
      </w:tblGrid>
      <w:tr>
        <w:trPr>
          <w:cantSplit w:val="0"/>
          <w:tblHeader w:val="0"/>
        </w:trPr>
        <w:tc>
          <w:tcPr>
            <w:shd w:fill="fff4ce" w:val="clear"/>
            <w:tcMar>
              <w:top w:w="110.0" w:type="dxa"/>
              <w:left w:w="120.0" w:type="dxa"/>
              <w:bottom w:w="110.0" w:type="dxa"/>
              <w:right w:w="120.0" w:type="dxa"/>
            </w:tcMar>
            <w:vAlign w:val="center"/>
          </w:tcPr>
          <w:p w:rsidR="00000000" w:rsidDel="00000000" w:rsidP="00000000" w:rsidRDefault="00000000" w:rsidRPr="00000000" w14:paraId="00000025">
            <w:pPr>
              <w:spacing w:after="0" w:lineRule="auto"/>
              <w:rPr>
                <w:rFonts w:ascii="Calibri" w:cs="Calibri" w:eastAsia="Calibri" w:hAnsi="Calibri"/>
              </w:rPr>
            </w:pPr>
            <w:r w:rsidDel="00000000" w:rsidR="00000000" w:rsidRPr="00000000">
              <w:rPr>
                <w:rFonts w:ascii="Calibri" w:cs="Calibri" w:eastAsia="Calibri" w:hAnsi="Calibri"/>
                <w:b w:val="1"/>
                <w:bCs w:val="1"/>
                <w:color w:val="7a5a00"/>
                <w:sz w:val="21"/>
                <w:szCs w:val="21"/>
                <w:rtl w:val="0"/>
              </w:rPr>
              <w:t xml:space="preserve">CURRENT WORKING LIMITS: </w:t>
            </w:r>
            <w:r w:rsidDel="00000000" w:rsidR="00000000" w:rsidRPr="00000000">
              <w:rPr>
                <w:rFonts w:ascii="Calibri" w:cs="Calibri" w:eastAsia="Calibri" w:hAnsi="Calibri"/>
                <w:sz w:val="21"/>
                <w:szCs w:val="21"/>
                <w:rtl w:val="0"/>
              </w:rPr>
              <w:t xml:space="preserve">FY26 Genesis: 100 words for Summary, Topic, and Mission Alignment; 200 words each for the other three responses. Confirm in the current Pitch Development Guide or AMP because DOE's public FAQ does not print the numbers.</w:t>
            </w:r>
            <w:r w:rsidDel="00000000" w:rsidR="00000000" w:rsidRPr="00000000">
              <w:rPr>
                <w:rtl w:val="0"/>
              </w:rPr>
            </w:r>
          </w:p>
        </w:tc>
      </w:tr>
    </w:tbl>
    <w:p w:rsidR="00000000" w:rsidDel="00000000" w:rsidP="00000000" w:rsidRDefault="00000000" w:rsidRPr="00000000" w14:paraId="00000026">
      <w:pPr>
        <w:pStyle w:val="Heading2"/>
        <w:rPr/>
      </w:pPr>
      <w:r w:rsidDel="00000000" w:rsidR="00000000" w:rsidRPr="00000000">
        <w:rPr>
          <w:rtl w:val="0"/>
        </w:rPr>
        <w:t xml:space="preserve">Current FY26 Genesis Mission snapshot</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b w:val="0"/>
          <w:bCs w:val="0"/>
          <w:i w:val="0"/>
          <w:iCs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tl w:val="0"/>
        </w:rPr>
        <w:t xml:space="preserve">Pitch deadline shown by the Application Hub:</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 September 10, 2026, at 2:00 p.m. Eastern Time.</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Phase I award ceiling: up to $250,000 for 6–12 months; the current opportunity anticipates approximately 40 awards across four Genesis Mission topics.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rFonts w:ascii="Calibri" w:cs="Calibri" w:eastAsia="Calibri" w:hAnsi="Calibri"/>
          <w:i w:val="0"/>
          <w:iCs w:val="0"/>
          <w:smallCaps w:val="0"/>
          <w:strike w:val="0"/>
          <w:color w:val="222222"/>
          <w:sz w:val="20"/>
          <w:szCs w:val="20"/>
          <w:shd w:fill="auto" w:val="clear"/>
          <w:vertAlign w:val="baseline"/>
        </w:rPr>
      </w:pP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The first release covers biotechnology, quantum systems, predictable materials design, and AI-driven autonomous laboratories. DOE says a broader Phase I release is expected later in 2026.</w:t>
      </w:r>
      <w:r w:rsidDel="00000000" w:rsidR="00000000" w:rsidRPr="00000000">
        <w:rPr>
          <w:rtl w:val="0"/>
        </w:rPr>
      </w:r>
    </w:p>
    <w:p w:rsidR="00000000" w:rsidDel="00000000" w:rsidP="00000000" w:rsidRDefault="00000000" w:rsidRPr="00000000" w14:paraId="0000002A">
      <w:pPr>
        <w:pageBreakBefore w:val="1"/>
        <w:rPr>
          <w:rFonts w:ascii="Calibri" w:cs="Calibri" w:eastAsia="Calibri" w:hAnsi="Calibri"/>
        </w:rPr>
      </w:pPr>
      <w:r w:rsidDel="00000000" w:rsidR="00000000" w:rsidRPr="00000000">
        <w:rPr>
          <w:rtl w:val="0"/>
        </w:rPr>
      </w:r>
    </w:p>
    <w:p w:rsidR="00000000" w:rsidDel="00000000" w:rsidP="00000000" w:rsidRDefault="00000000" w:rsidRPr="00000000" w14:paraId="0000002B">
      <w:pPr>
        <w:pStyle w:val="Heading1"/>
        <w:rPr/>
      </w:pPr>
      <w:r w:rsidDel="00000000" w:rsidR="00000000" w:rsidRPr="00000000">
        <w:rPr>
          <w:rtl w:val="0"/>
        </w:rPr>
        <w:t xml:space="preserve">2. Run the Readiness Gate Before You Write</w:t>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A strong pitch cannot rescue an ineligible applicant or a weak topic match. </w:t>
      </w:r>
    </w:p>
    <w:p w:rsidR="00000000" w:rsidDel="00000000" w:rsidP="00000000" w:rsidRDefault="00000000" w:rsidRPr="00000000" w14:paraId="0000002D">
      <w:pPr>
        <w:rPr>
          <w:rFonts w:ascii="Calibri" w:cs="Calibri" w:eastAsia="Calibri" w:hAnsi="Calibri"/>
        </w:rPr>
      </w:pPr>
      <w:r w:rsidDel="00000000" w:rsidR="00000000" w:rsidRPr="00000000">
        <w:rPr>
          <w:rtl w:val="0"/>
        </w:rPr>
      </w:r>
    </w:p>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Mark </w:t>
      </w:r>
      <w:r w:rsidDel="00000000" w:rsidR="00000000" w:rsidRPr="00000000">
        <w:rPr>
          <w:rFonts w:ascii="Calibri" w:cs="Calibri" w:eastAsia="Calibri" w:hAnsi="Calibri"/>
          <w:b w:val="1"/>
          <w:bCs w:val="1"/>
          <w:rtl w:val="0"/>
        </w:rPr>
        <w:t xml:space="preserve">Yes, No, or Maybe</w:t>
      </w:r>
      <w:r w:rsidDel="00000000" w:rsidR="00000000" w:rsidRPr="00000000">
        <w:rPr>
          <w:rFonts w:ascii="Calibri" w:cs="Calibri" w:eastAsia="Calibri" w:hAnsi="Calibri"/>
          <w:rtl w:val="0"/>
        </w:rPr>
        <w:t xml:space="preserve"> for each readiness criterion. </w:t>
      </w:r>
      <w:r w:rsidDel="00000000" w:rsidR="00000000" w:rsidRPr="00000000">
        <w:rPr>
          <w:rFonts w:ascii="Calibri" w:cs="Calibri" w:eastAsia="Calibri" w:hAnsi="Calibri"/>
          <w:b w:val="1"/>
          <w:bCs w:val="1"/>
          <w:rtl w:val="0"/>
        </w:rPr>
        <w:t xml:space="preserve">Yes</w:t>
      </w:r>
      <w:r w:rsidDel="00000000" w:rsidR="00000000" w:rsidRPr="00000000">
        <w:rPr>
          <w:rFonts w:ascii="Calibri" w:cs="Calibri" w:eastAsia="Calibri" w:hAnsi="Calibri"/>
          <w:rtl w:val="0"/>
        </w:rPr>
        <w:t xml:space="preserve"> means the requirement is satisfied; </w:t>
      </w:r>
      <w:r w:rsidDel="00000000" w:rsidR="00000000" w:rsidRPr="00000000">
        <w:rPr>
          <w:rFonts w:ascii="Calibri" w:cs="Calibri" w:eastAsia="Calibri" w:hAnsi="Calibri"/>
          <w:b w:val="1"/>
          <w:bCs w:val="1"/>
          <w:rtl w:val="0"/>
        </w:rPr>
        <w:t xml:space="preserve">No</w:t>
      </w:r>
      <w:r w:rsidDel="00000000" w:rsidR="00000000" w:rsidRPr="00000000">
        <w:rPr>
          <w:rFonts w:ascii="Calibri" w:cs="Calibri" w:eastAsia="Calibri" w:hAnsi="Calibri"/>
          <w:rtl w:val="0"/>
        </w:rPr>
        <w:t xml:space="preserve"> means the applicant or project is ineligible to proceed; and </w:t>
      </w:r>
      <w:r w:rsidDel="00000000" w:rsidR="00000000" w:rsidRPr="00000000">
        <w:rPr>
          <w:rFonts w:ascii="Calibri" w:cs="Calibri" w:eastAsia="Calibri" w:hAnsi="Calibri"/>
          <w:b w:val="1"/>
          <w:bCs w:val="1"/>
          <w:rtl w:val="0"/>
        </w:rPr>
        <w:t xml:space="preserve">Maybe</w:t>
      </w:r>
      <w:r w:rsidDel="00000000" w:rsidR="00000000" w:rsidRPr="00000000">
        <w:rPr>
          <w:rFonts w:ascii="Calibri" w:cs="Calibri" w:eastAsia="Calibri" w:hAnsi="Calibri"/>
          <w:rtl w:val="0"/>
        </w:rPr>
        <w:t xml:space="preserve"> identifies an unresolved issue that must be addressed before the Project Pitch is submitted. Do not begin drafting until every response is </w:t>
      </w:r>
      <w:r w:rsidDel="00000000" w:rsidR="00000000" w:rsidRPr="00000000">
        <w:rPr>
          <w:rFonts w:ascii="Calibri" w:cs="Calibri" w:eastAsia="Calibri" w:hAnsi="Calibri"/>
          <w:b w:val="1"/>
          <w:bCs w:val="1"/>
          <w:rtl w:val="0"/>
        </w:rPr>
        <w:t xml:space="preserve">Yes</w:t>
      </w:r>
      <w:r w:rsidDel="00000000" w:rsidR="00000000" w:rsidRPr="00000000">
        <w:rPr>
          <w:rFonts w:ascii="Calibri" w:cs="Calibri" w:eastAsia="Calibri" w:hAnsi="Calibri"/>
          <w:rtl w:val="0"/>
        </w:rPr>
        <w:t xml:space="preserve">.</w:t>
      </w:r>
    </w:p>
    <w:p w:rsidR="00000000" w:rsidDel="00000000" w:rsidP="00000000" w:rsidRDefault="00000000" w:rsidRPr="00000000" w14:paraId="0000002F">
      <w:pPr>
        <w:rPr>
          <w:rFonts w:ascii="Calibri" w:cs="Calibri" w:eastAsia="Calibri" w:hAnsi="Calibri"/>
        </w:rPr>
      </w:pPr>
      <w:r w:rsidDel="00000000" w:rsidR="00000000" w:rsidRPr="00000000">
        <w:rPr>
          <w:rtl w:val="0"/>
        </w:rPr>
      </w:r>
    </w:p>
    <w:tbl>
      <w:tblPr>
        <w:tblStyle w:val="Table4"/>
        <w:tblW w:w="9360.0" w:type="dxa"/>
        <w:jc w:val="left"/>
        <w:tblLayout w:type="fixed"/>
        <w:tblLook w:val="0400"/>
      </w:tblPr>
      <w:tblGrid>
        <w:gridCol w:w="2600"/>
        <w:gridCol w:w="4200"/>
        <w:gridCol w:w="2560"/>
        <w:tblGridChange w:id="0">
          <w:tblGrid>
            <w:gridCol w:w="2600"/>
            <w:gridCol w:w="4200"/>
            <w:gridCol w:w="2560"/>
          </w:tblGrid>
        </w:tblGridChange>
      </w:tblGrid>
      <w:tr>
        <w:trPr>
          <w:cantSplit w:val="0"/>
          <w:tblHeader w:val="1"/>
        </w:trPr>
        <w:tc>
          <w:tcPr>
            <w:shd w:fill="17365d" w:val="clear"/>
            <w:tcMar>
              <w:top w:w="110.0" w:type="dxa"/>
              <w:left w:w="120.0" w:type="dxa"/>
              <w:bottom w:w="110.0" w:type="dxa"/>
              <w:right w:w="120.0" w:type="dxa"/>
            </w:tcMar>
          </w:tcPr>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b w:val="1"/>
                <w:bCs w:val="1"/>
                <w:color w:val="ffffff"/>
                <w:rtl w:val="0"/>
              </w:rPr>
              <w:t xml:space="preserve">Gate</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b w:val="1"/>
                <w:bCs w:val="1"/>
                <w:color w:val="ffffff"/>
                <w:rtl w:val="0"/>
              </w:rPr>
              <w:t xml:space="preserve">Pass test</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b w:val="1"/>
                <w:bCs w:val="1"/>
                <w:color w:val="ffffff"/>
                <w:rtl w:val="0"/>
              </w:rPr>
              <w:t xml:space="preserve">Client status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Applicant eligibility</w:t>
            </w:r>
            <w:r w:rsidDel="00000000" w:rsidR="00000000" w:rsidRPr="00000000">
              <w:rPr>
                <w:rtl w:val="0"/>
              </w:rPr>
            </w:r>
          </w:p>
        </w:tc>
        <w:tc>
          <w:tcPr>
            <w:shd w:fill="ffffff" w:val="clear"/>
            <w:vAlign w:val="center"/>
          </w:tcPr>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sz w:val="18"/>
                <w:szCs w:val="18"/>
                <w:rtl w:val="0"/>
              </w:rPr>
              <w:t xml:space="preserve">U.S. for-profit small business; 500 or fewer employees, including affiliates; ownership/control and other SBA rules confirmed.</w:t>
            </w:r>
            <w:r w:rsidDel="00000000" w:rsidR="00000000" w:rsidRPr="00000000">
              <w:rPr>
                <w:rtl w:val="0"/>
              </w:rPr>
            </w:r>
          </w:p>
        </w:tc>
        <w:tc>
          <w:tcPr>
            <w:shd w:fill="ffffff" w:val="clear"/>
            <w:vAlign w:val="center"/>
          </w:tcPr>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color w:val="5e6b75"/>
                <w:sz w:val="18"/>
                <w:szCs w:val="18"/>
                <w:rtl w:val="0"/>
              </w:rPr>
              <w:t xml:space="preserve">☐ Yes ☐ No ☐ Maybe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Topic fit</w:t>
            </w:r>
            <w:r w:rsidDel="00000000" w:rsidR="00000000" w:rsidRPr="00000000">
              <w:rPr>
                <w:rtl w:val="0"/>
              </w:rPr>
            </w:r>
          </w:p>
        </w:tc>
        <w:tc>
          <w:tcPr>
            <w:shd w:fill="ffffff" w:val="clear"/>
            <w:vAlign w:val="center"/>
          </w:tcPr>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sz w:val="18"/>
                <w:szCs w:val="18"/>
                <w:rtl w:val="0"/>
              </w:rPr>
              <w:t xml:space="preserve">The project answers the selected topic's specific need, not merely DOE's broad mission.</w:t>
            </w:r>
            <w:r w:rsidDel="00000000" w:rsidR="00000000" w:rsidRPr="00000000">
              <w:rPr>
                <w:rtl w:val="0"/>
              </w:rPr>
            </w:r>
          </w:p>
        </w:tc>
        <w:tc>
          <w:tcPr>
            <w:shd w:fill="ffffff" w:val="clear"/>
            <w:vAlign w:val="center"/>
          </w:tcPr>
          <w:p w:rsidR="00000000" w:rsidDel="00000000" w:rsidP="00000000" w:rsidRDefault="00000000" w:rsidRPr="00000000" w14:paraId="00000038">
            <w:pPr>
              <w:rPr>
                <w:rFonts w:ascii="Calibri" w:cs="Calibri" w:eastAsia="Calibri" w:hAnsi="Calibri"/>
              </w:rPr>
            </w:pPr>
            <w:r w:rsidDel="00000000" w:rsidR="00000000" w:rsidRPr="00000000">
              <w:rPr>
                <w:rFonts w:ascii="Calibri" w:cs="Calibri" w:eastAsia="Calibri" w:hAnsi="Calibri"/>
                <w:color w:val="5e6b75"/>
                <w:sz w:val="18"/>
                <w:szCs w:val="18"/>
                <w:rtl w:val="0"/>
              </w:rPr>
              <w:t xml:space="preserve">☐ Yes ☐ No ☐ Maybe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Actual R&amp;D</w:t>
            </w:r>
            <w:r w:rsidDel="00000000" w:rsidR="00000000" w:rsidRPr="00000000">
              <w:rPr>
                <w:rtl w:val="0"/>
              </w:rPr>
            </w:r>
          </w:p>
        </w:tc>
        <w:tc>
          <w:tcPr>
            <w:shd w:fill="ffffff" w:val="clear"/>
            <w:vAlign w:val="center"/>
          </w:tcPr>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sz w:val="18"/>
                <w:szCs w:val="18"/>
                <w:rtl w:val="0"/>
              </w:rPr>
              <w:t xml:space="preserve">Phase I tests unresolved scientific or engineering feasibility; it is not routine product development, services, or deployment only.</w:t>
            </w:r>
            <w:r w:rsidDel="00000000" w:rsidR="00000000" w:rsidRPr="00000000">
              <w:rPr>
                <w:rtl w:val="0"/>
              </w:rPr>
            </w:r>
          </w:p>
        </w:tc>
        <w:tc>
          <w:tcPr>
            <w:shd w:fill="ffffff" w:val="clear"/>
            <w:vAlign w:val="center"/>
          </w:tcPr>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color w:val="5e6b75"/>
                <w:sz w:val="18"/>
                <w:szCs w:val="18"/>
                <w:rtl w:val="0"/>
              </w:rPr>
              <w:t xml:space="preserve">☐ Yes ☐ No ☐ Maybe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Innovation</w:t>
            </w:r>
            <w:r w:rsidDel="00000000" w:rsidR="00000000" w:rsidRPr="00000000">
              <w:rPr>
                <w:rtl w:val="0"/>
              </w:rPr>
            </w:r>
          </w:p>
        </w:tc>
        <w:tc>
          <w:tcPr>
            <w:shd w:fill="ffffff" w:val="clear"/>
            <w:vAlign w:val="center"/>
          </w:tcPr>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sz w:val="18"/>
                <w:szCs w:val="18"/>
                <w:rtl w:val="0"/>
              </w:rPr>
              <w:t xml:space="preserve">The technical advance and the closest alternatives can be named precisely and truthfully.</w:t>
            </w:r>
            <w:r w:rsidDel="00000000" w:rsidR="00000000" w:rsidRPr="00000000">
              <w:rPr>
                <w:rtl w:val="0"/>
              </w:rPr>
            </w:r>
          </w:p>
        </w:tc>
        <w:tc>
          <w:tcPr>
            <w:shd w:fill="ffffff" w:val="clear"/>
            <w:vAlign w:val="center"/>
          </w:tcPr>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color w:val="5e6b75"/>
                <w:sz w:val="18"/>
                <w:szCs w:val="18"/>
                <w:rtl w:val="0"/>
              </w:rPr>
              <w:t xml:space="preserve">☐ Yes ☐ No ☐ Maybe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3F">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Phase I scope</w:t>
            </w:r>
            <w:r w:rsidDel="00000000" w:rsidR="00000000" w:rsidRPr="00000000">
              <w:rPr>
                <w:rtl w:val="0"/>
              </w:rPr>
            </w:r>
          </w:p>
        </w:tc>
        <w:tc>
          <w:tcPr>
            <w:shd w:fill="ffffff" w:val="clear"/>
            <w:vAlign w:val="center"/>
          </w:tcPr>
          <w:p w:rsidR="00000000" w:rsidDel="00000000" w:rsidP="00000000" w:rsidRDefault="00000000" w:rsidRPr="00000000" w14:paraId="00000040">
            <w:pPr>
              <w:rPr>
                <w:rFonts w:ascii="Calibri" w:cs="Calibri" w:eastAsia="Calibri" w:hAnsi="Calibri"/>
              </w:rPr>
            </w:pPr>
            <w:r w:rsidDel="00000000" w:rsidR="00000000" w:rsidRPr="00000000">
              <w:rPr>
                <w:rFonts w:ascii="Calibri" w:cs="Calibri" w:eastAsia="Calibri" w:hAnsi="Calibri"/>
                <w:sz w:val="18"/>
                <w:szCs w:val="18"/>
                <w:rtl w:val="0"/>
              </w:rPr>
              <w:t xml:space="preserve">The decisive risk can be tested in 6–12 months within the current award ceiling.</w:t>
            </w:r>
            <w:r w:rsidDel="00000000" w:rsidR="00000000" w:rsidRPr="00000000">
              <w:rPr>
                <w:rtl w:val="0"/>
              </w:rPr>
            </w:r>
          </w:p>
        </w:tc>
        <w:tc>
          <w:tcPr>
            <w:shd w:fill="ffffff" w:val="clear"/>
            <w:vAlign w:val="center"/>
          </w:tcPr>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color w:val="5e6b75"/>
                <w:sz w:val="18"/>
                <w:szCs w:val="18"/>
                <w:rtl w:val="0"/>
              </w:rPr>
              <w:t xml:space="preserve">☐ Yes ☐ No ☐ Maybe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Commercial pull</w:t>
            </w:r>
            <w:r w:rsidDel="00000000" w:rsidR="00000000" w:rsidRPr="00000000">
              <w:rPr>
                <w:rtl w:val="0"/>
              </w:rPr>
            </w:r>
          </w:p>
        </w:tc>
        <w:tc>
          <w:tcPr>
            <w:shd w:fill="ffffff" w:val="clear"/>
            <w:vAlign w:val="center"/>
          </w:tcPr>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sz w:val="18"/>
                <w:szCs w:val="18"/>
                <w:rtl w:val="0"/>
              </w:rPr>
              <w:t xml:space="preserve">A specific customer/user, painful use case, value proposition, and plausible buying path are known.</w:t>
            </w:r>
            <w:r w:rsidDel="00000000" w:rsidR="00000000" w:rsidRPr="00000000">
              <w:rPr>
                <w:rtl w:val="0"/>
              </w:rPr>
            </w:r>
          </w:p>
        </w:tc>
        <w:tc>
          <w:tcPr>
            <w:shd w:fill="ffffff" w:val="clear"/>
            <w:vAlign w:val="center"/>
          </w:tcPr>
          <w:p w:rsidR="00000000" w:rsidDel="00000000" w:rsidP="00000000" w:rsidRDefault="00000000" w:rsidRPr="00000000" w14:paraId="00000044">
            <w:pPr>
              <w:rPr>
                <w:rFonts w:ascii="Calibri" w:cs="Calibri" w:eastAsia="Calibri" w:hAnsi="Calibri"/>
              </w:rPr>
            </w:pPr>
            <w:r w:rsidDel="00000000" w:rsidR="00000000" w:rsidRPr="00000000">
              <w:rPr>
                <w:rFonts w:ascii="Calibri" w:cs="Calibri" w:eastAsia="Calibri" w:hAnsi="Calibri"/>
                <w:color w:val="5e6b75"/>
                <w:sz w:val="18"/>
                <w:szCs w:val="18"/>
                <w:rtl w:val="0"/>
              </w:rPr>
              <w:t xml:space="preserve">☐ Yes ☐ No ☐ Maybe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Execution team</w:t>
            </w:r>
            <w:r w:rsidDel="00000000" w:rsidR="00000000" w:rsidRPr="00000000">
              <w:rPr>
                <w:rtl w:val="0"/>
              </w:rPr>
            </w:r>
          </w:p>
        </w:tc>
        <w:tc>
          <w:tcPr>
            <w:shd w:fill="ffffff" w:val="clear"/>
            <w:vAlign w:val="center"/>
          </w:tcPr>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sz w:val="18"/>
                <w:szCs w:val="18"/>
                <w:rtl w:val="0"/>
              </w:rPr>
              <w:t xml:space="preserve">Named people/partners cover the key technical and commercialization tasks; gaps have a credible fill plan.</w:t>
            </w:r>
            <w:r w:rsidDel="00000000" w:rsidR="00000000" w:rsidRPr="00000000">
              <w:rPr>
                <w:rtl w:val="0"/>
              </w:rPr>
            </w:r>
          </w:p>
        </w:tc>
        <w:tc>
          <w:tcPr>
            <w:shd w:fill="ffffff" w:val="clear"/>
            <w:vAlign w:val="center"/>
          </w:tcPr>
          <w:p w:rsidR="00000000" w:rsidDel="00000000" w:rsidP="00000000" w:rsidRDefault="00000000" w:rsidRPr="00000000" w14:paraId="00000047">
            <w:pPr>
              <w:rPr>
                <w:rFonts w:ascii="Calibri" w:cs="Calibri" w:eastAsia="Calibri" w:hAnsi="Calibri"/>
              </w:rPr>
            </w:pPr>
            <w:r w:rsidDel="00000000" w:rsidR="00000000" w:rsidRPr="00000000">
              <w:rPr>
                <w:rFonts w:ascii="Calibri" w:cs="Calibri" w:eastAsia="Calibri" w:hAnsi="Calibri"/>
                <w:color w:val="5e6b75"/>
                <w:sz w:val="18"/>
                <w:szCs w:val="18"/>
                <w:rtl w:val="0"/>
              </w:rPr>
              <w:t xml:space="preserve">☐ Yes ☐ No ☐ Maybe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No duplication</w:t>
            </w:r>
            <w:r w:rsidDel="00000000" w:rsidR="00000000" w:rsidRPr="00000000">
              <w:rPr>
                <w:rtl w:val="0"/>
              </w:rPr>
            </w:r>
          </w:p>
        </w:tc>
        <w:tc>
          <w:tcPr>
            <w:shd w:fill="ffffff" w:val="clear"/>
            <w:vAlign w:val="center"/>
          </w:tcPr>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sz w:val="18"/>
                <w:szCs w:val="18"/>
                <w:rtl w:val="0"/>
              </w:rPr>
              <w:t xml:space="preserve">The work does not duplicate the applicant's prior/current DOE-funded work; overlap is distinguished explicitly.</w:t>
            </w:r>
            <w:r w:rsidDel="00000000" w:rsidR="00000000" w:rsidRPr="00000000">
              <w:rPr>
                <w:rtl w:val="0"/>
              </w:rPr>
            </w:r>
          </w:p>
        </w:tc>
        <w:tc>
          <w:tcPr>
            <w:shd w:fill="ffffff" w:val="clear"/>
            <w:vAlign w:val="center"/>
          </w:tcPr>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color w:val="5e6b75"/>
                <w:sz w:val="18"/>
                <w:szCs w:val="18"/>
                <w:rtl w:val="0"/>
              </w:rPr>
              <w:t xml:space="preserve">☐ Yes ☐ No ☐ Maybe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Submission access</w:t>
            </w:r>
            <w:r w:rsidDel="00000000" w:rsidR="00000000" w:rsidRPr="00000000">
              <w:rPr>
                <w:rtl w:val="0"/>
              </w:rPr>
            </w:r>
          </w:p>
        </w:tc>
        <w:tc>
          <w:tcPr>
            <w:shd w:fill="ffffff" w:val="clear"/>
            <w:vAlign w:val="center"/>
          </w:tcPr>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sz w:val="18"/>
                <w:szCs w:val="18"/>
                <w:rtl w:val="0"/>
              </w:rPr>
              <w:t xml:space="preserve">AMP access is active; SAM/UEI and SBA Company Registry work is underway or complete as required.</w:t>
            </w:r>
            <w:r w:rsidDel="00000000" w:rsidR="00000000" w:rsidRPr="00000000">
              <w:rPr>
                <w:rtl w:val="0"/>
              </w:rPr>
            </w:r>
          </w:p>
        </w:tc>
        <w:tc>
          <w:tcPr>
            <w:shd w:fill="ffffff" w:val="clear"/>
            <w:vAlign w:val="center"/>
          </w:tcPr>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color w:val="5e6b75"/>
                <w:sz w:val="18"/>
                <w:szCs w:val="18"/>
                <w:rtl w:val="0"/>
              </w:rPr>
              <w:t xml:space="preserve">☐ Yes ☐ No ☐ Maybe</w:t>
            </w:r>
            <w:r w:rsidDel="00000000" w:rsidR="00000000" w:rsidRPr="00000000">
              <w:rPr>
                <w:rtl w:val="0"/>
              </w:rPr>
            </w:r>
          </w:p>
        </w:tc>
      </w:tr>
    </w:tbl>
    <w:p w:rsidR="00000000" w:rsidDel="00000000" w:rsidP="00000000" w:rsidRDefault="00000000" w:rsidRPr="00000000" w14:paraId="0000004E">
      <w:pPr>
        <w:pStyle w:val="Heading1"/>
        <w:pageBreakBefore w:val="1"/>
        <w:rPr/>
      </w:pPr>
      <w:r w:rsidDel="00000000" w:rsidR="00000000" w:rsidRPr="00000000">
        <w:rPr>
          <w:rtl w:val="0"/>
        </w:rPr>
      </w:r>
    </w:p>
    <w:p w:rsidR="00000000" w:rsidDel="00000000" w:rsidP="00000000" w:rsidRDefault="00000000" w:rsidRPr="00000000" w14:paraId="0000004F">
      <w:pPr>
        <w:pStyle w:val="Heading1"/>
        <w:rPr/>
      </w:pPr>
      <w:r w:rsidDel="00000000" w:rsidR="00000000" w:rsidRPr="00000000">
        <w:rPr>
          <w:rtl w:val="0"/>
        </w:rPr>
        <w:t xml:space="preserve">Project Control Sheet + Concept Core</w:t>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Prime small business (locked after pitch):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Anticipated full-application pathway, if invited: SBIR / STTR / Both / To Be Determined:</w:t>
      </w:r>
      <w:r w:rsidDel="00000000" w:rsidR="00000000" w:rsidRPr="00000000">
        <w:rPr>
          <w:rFonts w:ascii="Calibri" w:cs="Calibri" w:eastAsia="Calibri" w:hAnsi="Calibri"/>
          <w:b w:val="1"/>
          <w:bCs w:val="1"/>
          <w:color w:val="17365d"/>
          <w:sz w:val="21"/>
          <w:szCs w:val="21"/>
          <w:vertAlign w:val="superscript"/>
        </w:rPr>
        <w:footnoteReference w:customMarkFollows="0" w:id="0"/>
      </w:r>
      <w:r w:rsidDel="00000000" w:rsidR="00000000" w:rsidRPr="00000000">
        <w:rPr>
          <w:rFonts w:ascii="Calibri" w:cs="Calibri" w:eastAsia="Calibri" w:hAnsi="Calibri"/>
          <w:b w:val="1"/>
          <w:bCs w:val="1"/>
          <w:color w:val="17365d"/>
          <w:sz w:val="21"/>
          <w:szCs w:val="21"/>
          <w:rtl w:val="0"/>
        </w:rPr>
        <w:t xml:space="preserve">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Exact topic and subtopic (locked after pitch):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Working project title: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Principal Investigator: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Phase I period and estimated R&amp;D budget: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Single highest-risk technical question Phase I will answer: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Primary customer/user and buyer: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AMP pitch deadline and time zone: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59">
      <w:pPr>
        <w:pStyle w:val="Heading2"/>
        <w:rPr/>
      </w:pPr>
      <w:r w:rsidDel="00000000" w:rsidR="00000000" w:rsidRPr="00000000">
        <w:rPr>
          <w:rtl w:val="0"/>
        </w:rPr>
        <w:t xml:space="preserve">One-paragraph concept core</w:t>
      </w:r>
    </w:p>
    <w:tbl>
      <w:tblPr>
        <w:tblStyle w:val="Table5"/>
        <w:tblW w:w="9360.0" w:type="dxa"/>
        <w:jc w:val="left"/>
        <w:tblLayout w:type="fixed"/>
        <w:tblLook w:val="0400"/>
      </w:tblPr>
      <w:tblGrid>
        <w:gridCol w:w="9310"/>
        <w:gridCol w:w="50"/>
        <w:tblGridChange w:id="0">
          <w:tblGrid>
            <w:gridCol w:w="9310"/>
            <w:gridCol w:w="50"/>
          </w:tblGrid>
        </w:tblGridChange>
      </w:tblGrid>
      <w:tr>
        <w:trPr>
          <w:cantSplit w:val="0"/>
          <w:tblHeader w:val="0"/>
        </w:trPr>
        <w:tc>
          <w:tcPr>
            <w:gridSpan w:val="2"/>
            <w:shd w:fill="e8eef5" w:val="clear"/>
            <w:tcMar>
              <w:top w:w="110.0" w:type="dxa"/>
              <w:left w:w="120.0" w:type="dxa"/>
              <w:bottom w:w="110.0" w:type="dxa"/>
              <w:right w:w="120.0" w:type="dxa"/>
            </w:tcMar>
            <w:vAlign w:val="center"/>
          </w:tcPr>
          <w:p w:rsidR="00000000" w:rsidDel="00000000" w:rsidP="00000000" w:rsidRDefault="00000000" w:rsidRPr="00000000" w14:paraId="0000005A">
            <w:pPr>
              <w:spacing w:after="0" w:lineRule="auto"/>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DRAFT ONCE, REUSE CAREFULLY: </w:t>
            </w:r>
            <w:r w:rsidDel="00000000" w:rsidR="00000000" w:rsidRPr="00000000">
              <w:rPr>
                <w:rFonts w:ascii="Calibri" w:cs="Calibri" w:eastAsia="Calibri" w:hAnsi="Calibri"/>
                <w:sz w:val="21"/>
                <w:szCs w:val="21"/>
                <w:rtl w:val="0"/>
              </w:rPr>
              <w:t xml:space="preserve">Write a 100–150-word internal summary that connects problem, innovation, Phase I test, customer value, and team. Use it as a consistency anchor, then tailor each portal answer to its exact prompt rather than repeating this paragraph four times.</w:t>
            </w:r>
            <w:r w:rsidDel="00000000" w:rsidR="00000000" w:rsidRPr="00000000">
              <w:rPr>
                <w:rtl w:val="0"/>
              </w:rPr>
            </w:r>
          </w:p>
        </w:tc>
      </w:tr>
      <w:tr>
        <w:trPr>
          <w:cantSplit w:val="0"/>
          <w:tblHeader w:val="0"/>
        </w:trPr>
        <w:tc>
          <w:tcPr>
            <w:shd w:fill="fafbfc" w:val="clear"/>
            <w:tcMar>
              <w:top w:w="160.0" w:type="dxa"/>
              <w:left w:w="170.0" w:type="dxa"/>
              <w:bottom w:w="160.0" w:type="dxa"/>
              <w:right w:w="170.0" w:type="dxa"/>
            </w:tcMar>
          </w:tcPr>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i w:val="1"/>
                <w:iCs w:val="1"/>
                <w:color w:val="5e6b75"/>
                <w:sz w:val="21"/>
                <w:szCs w:val="21"/>
                <w:rtl w:val="0"/>
              </w:rPr>
              <w:t xml:space="preserve">[Internal concept core. This is a working aid, not a separate DOE field.]</w:t>
            </w:r>
            <w:r w:rsidDel="00000000" w:rsidR="00000000" w:rsidRPr="00000000">
              <w:rPr>
                <w:rtl w:val="0"/>
              </w:rPr>
            </w:r>
          </w:p>
          <w:p w:rsidR="00000000" w:rsidDel="00000000" w:rsidP="00000000" w:rsidRDefault="00000000" w:rsidRPr="00000000" w14:paraId="0000005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6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61">
      <w:pPr>
        <w:pStyle w:val="Heading2"/>
        <w:rPr/>
      </w:pPr>
      <w:r w:rsidDel="00000000" w:rsidR="00000000" w:rsidRPr="00000000">
        <w:rPr>
          <w:rtl w:val="0"/>
        </w:rPr>
        <w:t xml:space="preserve">Logic chain</w:t>
      </w:r>
    </w:p>
    <w:tbl>
      <w:tblPr>
        <w:tblStyle w:val="Table6"/>
        <w:tblW w:w="9360.0" w:type="dxa"/>
        <w:jc w:val="left"/>
        <w:tblLayout w:type="fixed"/>
        <w:tblLook w:val="0400"/>
      </w:tblPr>
      <w:tblGrid>
        <w:gridCol w:w="1800"/>
        <w:gridCol w:w="1800"/>
        <w:gridCol w:w="1800"/>
        <w:gridCol w:w="1800"/>
        <w:gridCol w:w="2160"/>
        <w:tblGridChange w:id="0">
          <w:tblGrid>
            <w:gridCol w:w="1800"/>
            <w:gridCol w:w="1800"/>
            <w:gridCol w:w="1800"/>
            <w:gridCol w:w="1800"/>
            <w:gridCol w:w="2160"/>
          </w:tblGrid>
        </w:tblGridChange>
      </w:tblGrid>
      <w:tr>
        <w:trPr>
          <w:cantSplit w:val="0"/>
          <w:tblHeader w:val="1"/>
        </w:trPr>
        <w:tc>
          <w:tcPr>
            <w:shd w:fill="17365d" w:val="clear"/>
            <w:tcMar>
              <w:top w:w="110.0" w:type="dxa"/>
              <w:left w:w="120.0" w:type="dxa"/>
              <w:bottom w:w="110.0" w:type="dxa"/>
              <w:right w:w="120.0" w:type="dxa"/>
            </w:tcMar>
          </w:tcPr>
          <w:p w:rsidR="00000000" w:rsidDel="00000000" w:rsidP="00000000" w:rsidRDefault="00000000" w:rsidRPr="00000000" w14:paraId="00000062">
            <w:pPr>
              <w:rPr>
                <w:rFonts w:ascii="Calibri" w:cs="Calibri" w:eastAsia="Calibri" w:hAnsi="Calibri"/>
              </w:rPr>
            </w:pPr>
            <w:r w:rsidDel="00000000" w:rsidR="00000000" w:rsidRPr="00000000">
              <w:rPr>
                <w:rFonts w:ascii="Calibri" w:cs="Calibri" w:eastAsia="Calibri" w:hAnsi="Calibri"/>
                <w:b w:val="1"/>
                <w:bCs w:val="1"/>
                <w:color w:val="ffffff"/>
                <w:sz w:val="18"/>
                <w:szCs w:val="18"/>
                <w:rtl w:val="0"/>
              </w:rPr>
              <w:t xml:space="preserve">Problem</w:t>
            </w:r>
            <w:r w:rsidDel="00000000" w:rsidR="00000000" w:rsidRPr="00000000">
              <w:rPr>
                <w:rtl w:val="0"/>
              </w:rPr>
            </w:r>
          </w:p>
        </w:tc>
        <w:tc>
          <w:tcPr>
            <w:shd w:fill="147d7e" w:val="clear"/>
            <w:tcMar>
              <w:top w:w="110.0" w:type="dxa"/>
              <w:left w:w="120.0" w:type="dxa"/>
              <w:bottom w:w="110.0" w:type="dxa"/>
              <w:right w:w="120.0" w:type="dxa"/>
            </w:tcMar>
          </w:tcPr>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b w:val="1"/>
                <w:bCs w:val="1"/>
                <w:color w:val="ffffff"/>
                <w:sz w:val="18"/>
                <w:szCs w:val="18"/>
                <w:rtl w:val="0"/>
              </w:rPr>
              <w:t xml:space="preserve">Innovation</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b w:val="1"/>
                <w:bCs w:val="1"/>
                <w:color w:val="ffffff"/>
                <w:sz w:val="18"/>
                <w:szCs w:val="18"/>
                <w:rtl w:val="0"/>
              </w:rPr>
              <w:t xml:space="preserve">Phase I proof</w:t>
            </w:r>
            <w:r w:rsidDel="00000000" w:rsidR="00000000" w:rsidRPr="00000000">
              <w:rPr>
                <w:rtl w:val="0"/>
              </w:rPr>
            </w:r>
          </w:p>
        </w:tc>
        <w:tc>
          <w:tcPr>
            <w:shd w:fill="147d7e" w:val="clear"/>
            <w:tcMar>
              <w:top w:w="110.0" w:type="dxa"/>
              <w:left w:w="120.0" w:type="dxa"/>
              <w:bottom w:w="110.0" w:type="dxa"/>
              <w:right w:w="120.0" w:type="dxa"/>
            </w:tcMar>
          </w:tcPr>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b w:val="1"/>
                <w:bCs w:val="1"/>
                <w:color w:val="ffffff"/>
                <w:sz w:val="18"/>
                <w:szCs w:val="18"/>
                <w:rtl w:val="0"/>
              </w:rPr>
              <w:t xml:space="preserve">Customer value</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b w:val="1"/>
                <w:bCs w:val="1"/>
                <w:color w:val="ffffff"/>
                <w:sz w:val="18"/>
                <w:szCs w:val="18"/>
                <w:rtl w:val="0"/>
              </w:rPr>
              <w:t xml:space="preserve">Next-stage decision</w:t>
            </w:r>
            <w:r w:rsidDel="00000000" w:rsidR="00000000" w:rsidRPr="00000000">
              <w:rPr>
                <w:rtl w:val="0"/>
              </w:rPr>
            </w:r>
          </w:p>
        </w:tc>
      </w:tr>
      <w:tr>
        <w:trPr>
          <w:cantSplit w:val="0"/>
          <w:tblHeader w:val="0"/>
        </w:trPr>
        <w:tc>
          <w:tcPr/>
          <w:p w:rsidR="00000000" w:rsidDel="00000000" w:rsidP="00000000" w:rsidRDefault="00000000" w:rsidRPr="00000000" w14:paraId="00000067">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[One sentence]</w:t>
            </w:r>
            <w:r w:rsidDel="00000000" w:rsidR="00000000" w:rsidRPr="00000000">
              <w:rPr>
                <w:rtl w:val="0"/>
              </w:rPr>
            </w:r>
          </w:p>
        </w:tc>
        <w:tc>
          <w:tcPr/>
          <w:p w:rsidR="00000000" w:rsidDel="00000000" w:rsidP="00000000" w:rsidRDefault="00000000" w:rsidRPr="00000000" w14:paraId="00000068">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[One sentence]</w:t>
            </w:r>
            <w:r w:rsidDel="00000000" w:rsidR="00000000" w:rsidRPr="00000000">
              <w:rPr>
                <w:rtl w:val="0"/>
              </w:rPr>
            </w:r>
          </w:p>
        </w:tc>
        <w:tc>
          <w:tcPr/>
          <w:p w:rsidR="00000000" w:rsidDel="00000000" w:rsidP="00000000" w:rsidRDefault="00000000" w:rsidRPr="00000000" w14:paraId="00000069">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[One sentence]</w:t>
            </w:r>
            <w:r w:rsidDel="00000000" w:rsidR="00000000" w:rsidRPr="00000000">
              <w:rPr>
                <w:rtl w:val="0"/>
              </w:rPr>
            </w:r>
          </w:p>
        </w:tc>
        <w:tc>
          <w:tcPr/>
          <w:p w:rsidR="00000000" w:rsidDel="00000000" w:rsidP="00000000" w:rsidRDefault="00000000" w:rsidRPr="00000000" w14:paraId="0000006A">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[One sentence]</w:t>
            </w:r>
            <w:r w:rsidDel="00000000" w:rsidR="00000000" w:rsidRPr="00000000">
              <w:rPr>
                <w:rtl w:val="0"/>
              </w:rPr>
            </w:r>
          </w:p>
        </w:tc>
        <w:tc>
          <w:tcPr/>
          <w:p w:rsidR="00000000" w:rsidDel="00000000" w:rsidP="00000000" w:rsidRDefault="00000000" w:rsidRPr="00000000" w14:paraId="0000006B">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[One sentence]</w:t>
            </w:r>
            <w:r w:rsidDel="00000000" w:rsidR="00000000" w:rsidRPr="00000000">
              <w:rPr>
                <w:rtl w:val="0"/>
              </w:rPr>
            </w:r>
          </w:p>
        </w:tc>
      </w:tr>
    </w:tbl>
    <w:p w:rsidR="00000000" w:rsidDel="00000000" w:rsidP="00000000" w:rsidRDefault="00000000" w:rsidRPr="00000000" w14:paraId="0000006C">
      <w:pPr>
        <w:pageBreakBefore w:val="1"/>
        <w:rPr>
          <w:rFonts w:ascii="Calibri" w:cs="Calibri" w:eastAsia="Calibri" w:hAnsi="Calibri"/>
        </w:rPr>
      </w:pPr>
      <w:r w:rsidDel="00000000" w:rsidR="00000000" w:rsidRPr="00000000">
        <w:rPr>
          <w:rtl w:val="0"/>
        </w:rPr>
      </w:r>
    </w:p>
    <w:p w:rsidR="00000000" w:rsidDel="00000000" w:rsidP="00000000" w:rsidRDefault="00000000" w:rsidRPr="00000000" w14:paraId="0000006D">
      <w:pPr>
        <w:pStyle w:val="Heading1"/>
        <w:rPr/>
      </w:pPr>
      <w:r w:rsidDel="00000000" w:rsidR="00000000" w:rsidRPr="00000000">
        <w:rPr>
          <w:rtl w:val="0"/>
        </w:rPr>
        <w:t xml:space="preserve">3. Pitch Worksheet 1: Summary, Topic + Mission Alignment</w:t>
      </w:r>
    </w:p>
    <w:tbl>
      <w:tblPr>
        <w:tblStyle w:val="Table7"/>
        <w:tblW w:w="9360.0" w:type="dxa"/>
        <w:jc w:val="left"/>
        <w:tblLayout w:type="fixed"/>
        <w:tblLook w:val="0400"/>
      </w:tblPr>
      <w:tblGrid>
        <w:gridCol w:w="9360"/>
        <w:tblGridChange w:id="0">
          <w:tblGrid>
            <w:gridCol w:w="9360"/>
          </w:tblGrid>
        </w:tblGridChange>
      </w:tblGrid>
      <w:tr>
        <w:trPr>
          <w:cantSplit w:val="0"/>
          <w:tblHeader w:val="0"/>
        </w:trPr>
        <w:tc>
          <w:tcPr>
            <w:shd w:fill="e8f3f2" w:val="clear"/>
            <w:tcMar>
              <w:top w:w="110.0" w:type="dxa"/>
              <w:left w:w="120.0" w:type="dxa"/>
              <w:bottom w:w="110.0" w:type="dxa"/>
              <w:right w:w="120.0" w:type="dxa"/>
            </w:tcMar>
            <w:vAlign w:val="center"/>
          </w:tcPr>
          <w:p w:rsidR="00000000" w:rsidDel="00000000" w:rsidP="00000000" w:rsidRDefault="00000000" w:rsidRPr="00000000" w14:paraId="0000006E">
            <w:pPr>
              <w:spacing w:after="0" w:lineRule="auto"/>
              <w:rPr>
                <w:rFonts w:ascii="Calibri" w:cs="Calibri" w:eastAsia="Calibri" w:hAnsi="Calibri"/>
              </w:rPr>
            </w:pPr>
            <w:r w:rsidDel="00000000" w:rsidR="00000000" w:rsidRPr="00000000">
              <w:rPr>
                <w:rFonts w:ascii="Calibri" w:cs="Calibri" w:eastAsia="Calibri" w:hAnsi="Calibri"/>
                <w:b w:val="1"/>
                <w:bCs w:val="1"/>
                <w:color w:val="147d7e"/>
                <w:sz w:val="21"/>
                <w:szCs w:val="21"/>
                <w:rtl w:val="0"/>
              </w:rPr>
              <w:t xml:space="preserve">DOE IS TESTING: </w:t>
            </w:r>
            <w:r w:rsidDel="00000000" w:rsidR="00000000" w:rsidRPr="00000000">
              <w:rPr>
                <w:rFonts w:ascii="Calibri" w:cs="Calibri" w:eastAsia="Calibri" w:hAnsi="Calibri"/>
                <w:sz w:val="21"/>
                <w:szCs w:val="21"/>
                <w:rtl w:val="0"/>
              </w:rPr>
              <w:t xml:space="preserve">Does this project directly answer the chosen topic and advance DOE's mission, with a clear problem, solution, and Phase I purpose?</w:t>
            </w:r>
            <w:r w:rsidDel="00000000" w:rsidR="00000000" w:rsidRPr="00000000">
              <w:rPr>
                <w:rtl w:val="0"/>
              </w:rPr>
            </w:r>
          </w:p>
        </w:tc>
      </w:tr>
    </w:tbl>
    <w:p w:rsidR="00000000" w:rsidDel="00000000" w:rsidP="00000000" w:rsidRDefault="00000000" w:rsidRPr="00000000" w14:paraId="0000006F">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Paste the exact live AMP prompt: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Maximum words: </w:t>
      </w:r>
      <w:r w:rsidDel="00000000" w:rsidR="00000000" w:rsidRPr="00000000">
        <w:rPr>
          <w:rFonts w:ascii="Calibri" w:cs="Calibri" w:eastAsia="Calibri" w:hAnsi="Calibri"/>
          <w:i w:val="1"/>
          <w:iCs w:val="1"/>
          <w:color w:val="5e6b75"/>
          <w:sz w:val="21"/>
          <w:szCs w:val="21"/>
          <w:rtl w:val="0"/>
        </w:rPr>
        <w:t xml:space="preserve">100 </w:t>
      </w:r>
      <w:r w:rsidDel="00000000" w:rsidR="00000000" w:rsidRPr="00000000">
        <w:rPr>
          <w:rtl w:val="0"/>
        </w:rPr>
      </w:r>
    </w:p>
    <w:p w:rsidR="00000000" w:rsidDel="00000000" w:rsidP="00000000" w:rsidRDefault="00000000" w:rsidRPr="00000000" w14:paraId="00000071">
      <w:pPr>
        <w:pStyle w:val="Heading2"/>
        <w:rPr/>
      </w:pPr>
      <w:r w:rsidDel="00000000" w:rsidR="00000000" w:rsidRPr="00000000">
        <w:rPr>
          <w:rtl w:val="0"/>
        </w:rPr>
        <w:t xml:space="preserve">Build the answer in this order</w:t>
      </w:r>
    </w:p>
    <w:p w:rsidR="00000000" w:rsidDel="00000000" w:rsidP="00000000" w:rsidRDefault="00000000" w:rsidRPr="00000000" w14:paraId="000000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Aptos" w:cs="Aptos" w:eastAsia="Aptos" w:hAnsi="Aptos"/>
          <w:b w:val="0"/>
          <w:bCs w:val="0"/>
          <w:i w:val="0"/>
          <w:iCs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17365d"/>
          <w:sz w:val="22"/>
          <w:szCs w:val="22"/>
          <w:u w:val="none"/>
          <w:shd w:fill="auto" w:val="clear"/>
          <w:vertAlign w:val="baseline"/>
          <w:rtl w:val="0"/>
        </w:rPr>
        <w:t xml:space="preserve">Problem:</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 Name the specific scientific, technical, industrial, or mission bottleneck and who experiences it.</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Aptos" w:cs="Aptos" w:eastAsia="Aptos" w:hAnsi="Aptos"/>
          <w:b w:val="0"/>
          <w:bCs w:val="0"/>
          <w:i w:val="0"/>
          <w:iCs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17365d"/>
          <w:sz w:val="22"/>
          <w:szCs w:val="22"/>
          <w:u w:val="none"/>
          <w:shd w:fill="auto" w:val="clear"/>
          <w:vertAlign w:val="baseline"/>
          <w:rtl w:val="0"/>
        </w:rPr>
        <w:t xml:space="preserve">Proposed innovation:</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 State what the company will create or prove, in one concrete sentence.</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Aptos" w:cs="Aptos" w:eastAsia="Aptos" w:hAnsi="Aptos"/>
          <w:b w:val="0"/>
          <w:bCs w:val="0"/>
          <w:i w:val="0"/>
          <w:iCs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17365d"/>
          <w:sz w:val="22"/>
          <w:szCs w:val="22"/>
          <w:u w:val="none"/>
          <w:shd w:fill="auto" w:val="clear"/>
          <w:vertAlign w:val="baseline"/>
          <w:rtl w:val="0"/>
        </w:rPr>
        <w:t xml:space="preserve">Topic match:</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 Reuse the topic's exact nouns and desired outcome; explain the direct connection rather than merely quoting the topic.</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rFonts w:ascii="Aptos" w:cs="Aptos" w:eastAsia="Aptos" w:hAnsi="Aptos"/>
          <w:b w:val="0"/>
          <w:bCs w:val="0"/>
          <w:i w:val="0"/>
          <w:iCs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17365d"/>
          <w:sz w:val="22"/>
          <w:szCs w:val="22"/>
          <w:u w:val="none"/>
          <w:shd w:fill="auto" w:val="clear"/>
          <w:vertAlign w:val="baseline"/>
          <w:rtl w:val="0"/>
        </w:rPr>
        <w:t xml:space="preserve">DOE/Genesis relevance:</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 State the measurable scientific, energy, manufacturing, security, or productivity consequence.</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rFonts w:ascii="Aptos" w:cs="Aptos" w:eastAsia="Aptos" w:hAnsi="Aptos"/>
          <w:b w:val="0"/>
          <w:bCs w:val="0"/>
          <w:i w:val="0"/>
          <w:iCs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17365d"/>
          <w:sz w:val="22"/>
          <w:szCs w:val="22"/>
          <w:u w:val="none"/>
          <w:shd w:fill="auto" w:val="clear"/>
          <w:vertAlign w:val="baseline"/>
          <w:rtl w:val="0"/>
        </w:rPr>
        <w:t xml:space="preserve">Phase I decision:</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 End with the feasibility question</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 DOE funding will resolve.</w:t>
      </w:r>
      <w:r w:rsidDel="00000000" w:rsidR="00000000" w:rsidRPr="00000000">
        <w:rPr>
          <w:rtl w:val="0"/>
        </w:rPr>
      </w:r>
    </w:p>
    <w:p w:rsidR="00000000" w:rsidDel="00000000" w:rsidP="00000000" w:rsidRDefault="00000000" w:rsidRPr="00000000" w14:paraId="00000077">
      <w:pPr>
        <w:pStyle w:val="Heading2"/>
        <w:rPr/>
      </w:pPr>
      <w:r w:rsidDel="00000000" w:rsidR="00000000" w:rsidRPr="00000000">
        <w:rPr>
          <w:rtl w:val="0"/>
        </w:rPr>
        <w:t xml:space="preserve">Sentence scaffold</w:t>
      </w:r>
    </w:p>
    <w:tbl>
      <w:tblPr>
        <w:tblStyle w:val="Table8"/>
        <w:tblW w:w="9360.0" w:type="dxa"/>
        <w:jc w:val="left"/>
        <w:tblLayout w:type="fixed"/>
        <w:tblLook w:val="0400"/>
      </w:tblPr>
      <w:tblGrid>
        <w:gridCol w:w="9360"/>
        <w:tblGridChange w:id="0">
          <w:tblGrid>
            <w:gridCol w:w="9360"/>
          </w:tblGrid>
        </w:tblGridChange>
      </w:tblGrid>
      <w:tr>
        <w:trPr>
          <w:cantSplit w:val="0"/>
          <w:tblHeader w:val="0"/>
        </w:trPr>
        <w:tc>
          <w:tcPr>
            <w:shd w:fill="f5f7f9" w:val="clear"/>
            <w:tcMar>
              <w:top w:w="110.0" w:type="dxa"/>
              <w:left w:w="120.0" w:type="dxa"/>
              <w:bottom w:w="110.0" w:type="dxa"/>
              <w:right w:w="120.0" w:type="dxa"/>
            </w:tcMar>
            <w:vAlign w:val="center"/>
          </w:tcPr>
          <w:p w:rsidR="00000000" w:rsidDel="00000000" w:rsidP="00000000" w:rsidRDefault="00000000" w:rsidRPr="00000000" w14:paraId="00000078">
            <w:pPr>
              <w:spacing w:after="0" w:lineRule="auto"/>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FILL-IN FORMULA: </w:t>
            </w:r>
            <w:r w:rsidDel="00000000" w:rsidR="00000000" w:rsidRPr="00000000">
              <w:rPr>
                <w:rFonts w:ascii="Calibri" w:cs="Calibri" w:eastAsia="Calibri" w:hAnsi="Calibri"/>
                <w:sz w:val="21"/>
                <w:szCs w:val="21"/>
                <w:rtl w:val="0"/>
              </w:rPr>
              <w:t xml:space="preserve">[Customer/user] cannot [important job] because [specific bottleneck]. [Company] proposes [technical innovation], which differs from [closest alternative] by [mechanism/capability]. This directly responds to [topic language] and would enable [quantified DOE-relevant outcome]. In Phase I, we will determine whether [technical hypothesis] can achieve [success threshold] under [conditions].</w:t>
            </w:r>
            <w:r w:rsidDel="00000000" w:rsidR="00000000" w:rsidRPr="00000000">
              <w:rPr>
                <w:rtl w:val="0"/>
              </w:rPr>
            </w:r>
          </w:p>
        </w:tc>
      </w:tr>
    </w:tbl>
    <w:p w:rsidR="00000000" w:rsidDel="00000000" w:rsidP="00000000" w:rsidRDefault="00000000" w:rsidRPr="00000000" w14:paraId="00000079">
      <w:pPr>
        <w:pStyle w:val="Heading2"/>
        <w:rPr/>
      </w:pPr>
      <w:r w:rsidDel="00000000" w:rsidR="00000000" w:rsidRPr="00000000">
        <w:rPr>
          <w:rtl w:val="0"/>
        </w:rPr>
        <w:t xml:space="preserve">Draft</w:t>
      </w:r>
    </w:p>
    <w:tbl>
      <w:tblPr>
        <w:tblStyle w:val="Table9"/>
        <w:tblW w:w="9360.0" w:type="dxa"/>
        <w:jc w:val="left"/>
        <w:tblInd w:w="-50.0" w:type="dxa"/>
        <w:tblLayout w:type="fixed"/>
        <w:tblLook w:val="0400"/>
      </w:tblPr>
      <w:tblGrid>
        <w:gridCol w:w="9360"/>
        <w:tblGridChange w:id="0">
          <w:tblGrid>
            <w:gridCol w:w="9360"/>
          </w:tblGrid>
        </w:tblGridChange>
      </w:tblGrid>
      <w:tr>
        <w:trPr>
          <w:cantSplit w:val="0"/>
          <w:tblHeader w:val="0"/>
        </w:trPr>
        <w:tc>
          <w:tcPr>
            <w:shd w:fill="fafbfc" w:val="clear"/>
            <w:tcMar>
              <w:top w:w="160.0" w:type="dxa"/>
              <w:left w:w="170.0" w:type="dxa"/>
              <w:bottom w:w="160.0" w:type="dxa"/>
              <w:right w:w="170.0" w:type="dxa"/>
            </w:tcMar>
          </w:tcPr>
          <w:p w:rsidR="00000000" w:rsidDel="00000000" w:rsidP="00000000" w:rsidRDefault="00000000" w:rsidRPr="00000000" w14:paraId="0000007A">
            <w:pPr>
              <w:rPr>
                <w:rFonts w:ascii="Calibri" w:cs="Calibri" w:eastAsia="Calibri" w:hAnsi="Calibri"/>
              </w:rPr>
            </w:pPr>
            <w:r w:rsidDel="00000000" w:rsidR="00000000" w:rsidRPr="00000000">
              <w:rPr>
                <w:rFonts w:ascii="Calibri" w:cs="Calibri" w:eastAsia="Calibri" w:hAnsi="Calibri"/>
                <w:i w:val="1"/>
                <w:iCs w:val="1"/>
                <w:color w:val="5e6b75"/>
                <w:sz w:val="21"/>
                <w:szCs w:val="21"/>
                <w:rtl w:val="0"/>
              </w:rPr>
              <w:t xml:space="preserve">[Draft here. Replace this text with your response. The box expands as you type.]</w:t>
            </w:r>
            <w:r w:rsidDel="00000000" w:rsidR="00000000" w:rsidRPr="00000000">
              <w:rPr>
                <w:rtl w:val="0"/>
              </w:rPr>
            </w:r>
          </w:p>
          <w:p w:rsidR="00000000" w:rsidDel="00000000" w:rsidP="00000000" w:rsidRDefault="00000000" w:rsidRPr="00000000" w14:paraId="0000007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7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7D">
      <w:pPr>
        <w:pStyle w:val="Heading2"/>
        <w:rPr/>
      </w:pPr>
      <w:r w:rsidDel="00000000" w:rsidR="00000000" w:rsidRPr="00000000">
        <w:rPr>
          <w:rtl w:val="0"/>
        </w:rPr>
        <w:t xml:space="preserve">Self-check</w:t>
      </w:r>
    </w:p>
    <w:p w:rsidR="00000000" w:rsidDel="00000000" w:rsidP="00000000" w:rsidRDefault="00000000" w:rsidRPr="00000000" w14:paraId="0000007E">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The exact topic fit is obvious in the first half of the response.</w:t>
      </w:r>
      <w:r w:rsidDel="00000000" w:rsidR="00000000" w:rsidRPr="00000000">
        <w:rPr>
          <w:rtl w:val="0"/>
        </w:rPr>
      </w:r>
    </w:p>
    <w:p w:rsidR="00000000" w:rsidDel="00000000" w:rsidP="00000000" w:rsidRDefault="00000000" w:rsidRPr="00000000" w14:paraId="0000007F">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A non-specialist can repeat the problem, innovation, and DOE value after one read.</w:t>
      </w:r>
      <w:r w:rsidDel="00000000" w:rsidR="00000000" w:rsidRPr="00000000">
        <w:rPr>
          <w:rtl w:val="0"/>
        </w:rPr>
      </w:r>
    </w:p>
    <w:p w:rsidR="00000000" w:rsidDel="00000000" w:rsidP="00000000" w:rsidRDefault="00000000" w:rsidRPr="00000000" w14:paraId="00000080">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The closing sentence names a genuine Phase I feasibility decision.</w:t>
      </w:r>
      <w:r w:rsidDel="00000000" w:rsidR="00000000" w:rsidRPr="00000000">
        <w:rPr>
          <w:rtl w:val="0"/>
        </w:rPr>
      </w:r>
    </w:p>
    <w:p w:rsidR="00000000" w:rsidDel="00000000" w:rsidP="00000000" w:rsidRDefault="00000000" w:rsidRPr="00000000" w14:paraId="00000081">
      <w:pPr>
        <w:pageBreakBefore w:val="1"/>
        <w:rPr>
          <w:rFonts w:ascii="Calibri" w:cs="Calibri" w:eastAsia="Calibri" w:hAnsi="Calibri"/>
        </w:rPr>
      </w:pPr>
      <w:r w:rsidDel="00000000" w:rsidR="00000000" w:rsidRPr="00000000">
        <w:rPr>
          <w:rtl w:val="0"/>
        </w:rPr>
      </w:r>
    </w:p>
    <w:p w:rsidR="00000000" w:rsidDel="00000000" w:rsidP="00000000" w:rsidRDefault="00000000" w:rsidRPr="00000000" w14:paraId="00000082">
      <w:pPr>
        <w:pStyle w:val="Heading1"/>
        <w:rPr/>
      </w:pPr>
      <w:r w:rsidDel="00000000" w:rsidR="00000000" w:rsidRPr="00000000">
        <w:rPr>
          <w:rtl w:val="0"/>
        </w:rPr>
        <w:t xml:space="preserve">4. Pitch Worksheet 2: Technical Promise</w:t>
      </w:r>
    </w:p>
    <w:tbl>
      <w:tblPr>
        <w:tblStyle w:val="Table10"/>
        <w:tblW w:w="9360.0" w:type="dxa"/>
        <w:jc w:val="left"/>
        <w:tblLayout w:type="fixed"/>
        <w:tblLook w:val="0400"/>
      </w:tblPr>
      <w:tblGrid>
        <w:gridCol w:w="9360"/>
        <w:tblGridChange w:id="0">
          <w:tblGrid>
            <w:gridCol w:w="9360"/>
          </w:tblGrid>
        </w:tblGridChange>
      </w:tblGrid>
      <w:tr>
        <w:trPr>
          <w:cantSplit w:val="0"/>
          <w:tblHeader w:val="0"/>
        </w:trPr>
        <w:tc>
          <w:tcPr>
            <w:shd w:fill="e8f3f2" w:val="clear"/>
            <w:tcMar>
              <w:top w:w="110.0" w:type="dxa"/>
              <w:left w:w="120.0" w:type="dxa"/>
              <w:bottom w:w="110.0" w:type="dxa"/>
              <w:right w:w="120.0" w:type="dxa"/>
            </w:tcMar>
            <w:vAlign w:val="center"/>
          </w:tcPr>
          <w:p w:rsidR="00000000" w:rsidDel="00000000" w:rsidP="00000000" w:rsidRDefault="00000000" w:rsidRPr="00000000" w14:paraId="00000083">
            <w:pPr>
              <w:spacing w:after="0" w:lineRule="auto"/>
              <w:rPr>
                <w:rFonts w:ascii="Calibri" w:cs="Calibri" w:eastAsia="Calibri" w:hAnsi="Calibri"/>
              </w:rPr>
            </w:pPr>
            <w:r w:rsidDel="00000000" w:rsidR="00000000" w:rsidRPr="00000000">
              <w:rPr>
                <w:rFonts w:ascii="Calibri" w:cs="Calibri" w:eastAsia="Calibri" w:hAnsi="Calibri"/>
                <w:b w:val="1"/>
                <w:bCs w:val="1"/>
                <w:color w:val="147d7e"/>
                <w:sz w:val="21"/>
                <w:szCs w:val="21"/>
                <w:rtl w:val="0"/>
              </w:rPr>
              <w:t xml:space="preserve">DOE IS TESTING: </w:t>
            </w:r>
            <w:r w:rsidDel="00000000" w:rsidR="00000000" w:rsidRPr="00000000">
              <w:rPr>
                <w:rFonts w:ascii="Calibri" w:cs="Calibri" w:eastAsia="Calibri" w:hAnsi="Calibri"/>
                <w:sz w:val="21"/>
                <w:szCs w:val="21"/>
                <w:rtl w:val="0"/>
              </w:rPr>
              <w:t xml:space="preserve">Is the problem significant, the approach meaningfully novel, and the proposed feasibility test credible within the Phase I time and budget?</w:t>
            </w:r>
            <w:r w:rsidDel="00000000" w:rsidR="00000000" w:rsidRPr="00000000">
              <w:rPr>
                <w:rtl w:val="0"/>
              </w:rPr>
            </w:r>
          </w:p>
        </w:tc>
      </w:tr>
    </w:tbl>
    <w:p w:rsidR="00000000" w:rsidDel="00000000" w:rsidP="00000000" w:rsidRDefault="00000000" w:rsidRPr="00000000" w14:paraId="00000084">
      <w:pPr>
        <w:rPr>
          <w:rFonts w:ascii="Calibri" w:cs="Calibri" w:eastAsia="Calibri" w:hAnsi="Calibri"/>
          <w:b w:val="1"/>
          <w:bCs w:val="1"/>
          <w:color w:val="17365d"/>
          <w:sz w:val="21"/>
          <w:szCs w:val="21"/>
        </w:rPr>
      </w:pPr>
      <w:r w:rsidDel="00000000" w:rsidR="00000000" w:rsidRPr="00000000">
        <w:rPr>
          <w:rtl w:val="0"/>
        </w:rPr>
      </w:r>
    </w:p>
    <w:p w:rsidR="00000000" w:rsidDel="00000000" w:rsidP="00000000" w:rsidRDefault="00000000" w:rsidRPr="00000000" w14:paraId="00000085">
      <w:pPr>
        <w:rPr>
          <w:rFonts w:ascii="Calibri" w:cs="Calibri" w:eastAsia="Calibri" w:hAnsi="Calibri"/>
          <w:b w:val="1"/>
          <w:bCs w:val="1"/>
          <w:color w:val="17365d"/>
          <w:sz w:val="21"/>
          <w:szCs w:val="21"/>
        </w:rPr>
      </w:pPr>
      <w:r w:rsidDel="00000000" w:rsidR="00000000" w:rsidRPr="00000000">
        <w:rPr>
          <w:rFonts w:ascii="Calibri" w:cs="Calibri" w:eastAsia="Calibri" w:hAnsi="Calibri"/>
          <w:b w:val="1"/>
          <w:bCs w:val="1"/>
          <w:color w:val="17365d"/>
          <w:sz w:val="21"/>
          <w:szCs w:val="21"/>
          <w:rtl w:val="0"/>
        </w:rPr>
        <w:t xml:space="preserve">Paste the exact live AMP prompt: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86">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Maximum words: </w:t>
      </w:r>
      <w:r w:rsidDel="00000000" w:rsidR="00000000" w:rsidRPr="00000000">
        <w:rPr>
          <w:rFonts w:ascii="Calibri" w:cs="Calibri" w:eastAsia="Calibri" w:hAnsi="Calibri"/>
          <w:i w:val="1"/>
          <w:iCs w:val="1"/>
          <w:color w:val="5e6b75"/>
          <w:sz w:val="21"/>
          <w:szCs w:val="21"/>
          <w:rtl w:val="0"/>
        </w:rPr>
        <w:t xml:space="preserve">200 </w:t>
      </w:r>
      <w:r w:rsidDel="00000000" w:rsidR="00000000" w:rsidRPr="00000000">
        <w:rPr>
          <w:rtl w:val="0"/>
        </w:rPr>
      </w:r>
    </w:p>
    <w:p w:rsidR="00000000" w:rsidDel="00000000" w:rsidP="00000000" w:rsidRDefault="00000000" w:rsidRPr="00000000" w14:paraId="00000087">
      <w:pPr>
        <w:pStyle w:val="Heading2"/>
        <w:rPr/>
      </w:pPr>
      <w:r w:rsidDel="00000000" w:rsidR="00000000" w:rsidRPr="00000000">
        <w:rPr>
          <w:rtl w:val="0"/>
        </w:rPr>
        <w:t xml:space="preserve">Evidence map</w:t>
      </w:r>
    </w:p>
    <w:tbl>
      <w:tblPr>
        <w:tblStyle w:val="Table11"/>
        <w:tblW w:w="9360.0" w:type="dxa"/>
        <w:jc w:val="left"/>
        <w:tblLayout w:type="fixed"/>
        <w:tblLook w:val="0400"/>
      </w:tblPr>
      <w:tblGrid>
        <w:gridCol w:w="2850"/>
        <w:gridCol w:w="6510"/>
        <w:tblGridChange w:id="0">
          <w:tblGrid>
            <w:gridCol w:w="2850"/>
            <w:gridCol w:w="6510"/>
          </w:tblGrid>
        </w:tblGridChange>
      </w:tblGrid>
      <w:tr>
        <w:trPr>
          <w:cantSplit w:val="0"/>
          <w:tblHeader w:val="1"/>
        </w:trPr>
        <w:tc>
          <w:tcPr>
            <w:shd w:fill="17365d" w:val="clear"/>
            <w:tcMar>
              <w:top w:w="110.0" w:type="dxa"/>
              <w:left w:w="120.0" w:type="dxa"/>
              <w:bottom w:w="110.0" w:type="dxa"/>
              <w:right w:w="120.0" w:type="dxa"/>
            </w:tcMar>
          </w:tcPr>
          <w:p w:rsidR="00000000" w:rsidDel="00000000" w:rsidP="00000000" w:rsidRDefault="00000000" w:rsidRPr="00000000" w14:paraId="00000088">
            <w:pPr>
              <w:rPr>
                <w:rFonts w:ascii="Calibri" w:cs="Calibri" w:eastAsia="Calibri" w:hAnsi="Calibri"/>
              </w:rPr>
            </w:pPr>
            <w:r w:rsidDel="00000000" w:rsidR="00000000" w:rsidRPr="00000000">
              <w:rPr>
                <w:rFonts w:ascii="Calibri" w:cs="Calibri" w:eastAsia="Calibri" w:hAnsi="Calibri"/>
                <w:b w:val="1"/>
                <w:bCs w:val="1"/>
                <w:color w:val="ffffff"/>
                <w:rtl w:val="0"/>
              </w:rPr>
              <w:t xml:space="preserve">What reviewers need</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089">
            <w:pPr>
              <w:rPr>
                <w:rFonts w:ascii="Calibri" w:cs="Calibri" w:eastAsia="Calibri" w:hAnsi="Calibri"/>
              </w:rPr>
            </w:pPr>
            <w:r w:rsidDel="00000000" w:rsidR="00000000" w:rsidRPr="00000000">
              <w:rPr>
                <w:rFonts w:ascii="Calibri" w:cs="Calibri" w:eastAsia="Calibri" w:hAnsi="Calibri"/>
                <w:b w:val="1"/>
                <w:bCs w:val="1"/>
                <w:color w:val="ffffff"/>
                <w:rtl w:val="0"/>
              </w:rPr>
              <w:t xml:space="preserve">Your strongest evidence</w:t>
            </w:r>
            <w:r w:rsidDel="00000000" w:rsidR="00000000" w:rsidRPr="00000000">
              <w:rPr>
                <w:rtl w:val="0"/>
              </w:rPr>
            </w:r>
          </w:p>
        </w:tc>
      </w:tr>
      <w:tr>
        <w:trPr>
          <w:cantSplit w:val="0"/>
          <w:tblHeader w:val="0"/>
        </w:trPr>
        <w:tc>
          <w:tcPr/>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Baseline/state of the art</w:t>
            </w:r>
            <w:r w:rsidDel="00000000" w:rsidR="00000000" w:rsidRPr="00000000">
              <w:rPr>
                <w:rtl w:val="0"/>
              </w:rPr>
            </w:r>
          </w:p>
        </w:tc>
        <w:tc>
          <w:tcPr/>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 evidence, metric, comparison, or source]</w:t>
            </w:r>
            <w:r w:rsidDel="00000000" w:rsidR="00000000" w:rsidRPr="00000000">
              <w:rPr>
                <w:rtl w:val="0"/>
              </w:rPr>
            </w:r>
          </w:p>
        </w:tc>
      </w:tr>
      <w:tr>
        <w:trPr>
          <w:cantSplit w:val="0"/>
          <w:tblHeader w:val="0"/>
        </w:trPr>
        <w:tc>
          <w:tcPr/>
          <w:p w:rsidR="00000000" w:rsidDel="00000000" w:rsidP="00000000" w:rsidRDefault="00000000" w:rsidRPr="00000000" w14:paraId="0000008C">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Technical novelty</w:t>
            </w:r>
            <w:r w:rsidDel="00000000" w:rsidR="00000000" w:rsidRPr="00000000">
              <w:rPr>
                <w:rtl w:val="0"/>
              </w:rPr>
            </w:r>
          </w:p>
        </w:tc>
        <w:tc>
          <w:tcPr/>
          <w:p w:rsidR="00000000" w:rsidDel="00000000" w:rsidP="00000000" w:rsidRDefault="00000000" w:rsidRPr="00000000" w14:paraId="0000008D">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 evidence, metric, comparison, or source]</w:t>
            </w:r>
            <w:r w:rsidDel="00000000" w:rsidR="00000000" w:rsidRPr="00000000">
              <w:rPr>
                <w:rtl w:val="0"/>
              </w:rPr>
            </w:r>
          </w:p>
        </w:tc>
      </w:tr>
      <w:tr>
        <w:trPr>
          <w:cantSplit w:val="0"/>
          <w:tblHeader w:val="0"/>
        </w:trPr>
        <w:tc>
          <w:tcPr/>
          <w:p w:rsidR="00000000" w:rsidDel="00000000" w:rsidP="00000000" w:rsidRDefault="00000000" w:rsidRPr="00000000" w14:paraId="0000008E">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Unresolved risk or hypothesis</w:t>
            </w:r>
            <w:r w:rsidDel="00000000" w:rsidR="00000000" w:rsidRPr="00000000">
              <w:rPr>
                <w:rtl w:val="0"/>
              </w:rPr>
            </w:r>
          </w:p>
        </w:tc>
        <w:tc>
          <w:tcPr/>
          <w:p w:rsidR="00000000" w:rsidDel="00000000" w:rsidP="00000000" w:rsidRDefault="00000000" w:rsidRPr="00000000" w14:paraId="0000008F">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 evidence, metric, comparison, or source]</w:t>
            </w:r>
            <w:r w:rsidDel="00000000" w:rsidR="00000000" w:rsidRPr="00000000">
              <w:rPr>
                <w:rtl w:val="0"/>
              </w:rPr>
            </w:r>
          </w:p>
        </w:tc>
      </w:tr>
      <w:tr>
        <w:trPr>
          <w:cantSplit w:val="0"/>
          <w:tblHeader w:val="0"/>
        </w:trPr>
        <w:tc>
          <w:tcPr/>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Phase I method/work packages</w:t>
            </w:r>
            <w:r w:rsidDel="00000000" w:rsidR="00000000" w:rsidRPr="00000000">
              <w:rPr>
                <w:rtl w:val="0"/>
              </w:rPr>
            </w:r>
          </w:p>
        </w:tc>
        <w:tc>
          <w:tcPr/>
          <w:p w:rsidR="00000000" w:rsidDel="00000000" w:rsidP="00000000" w:rsidRDefault="00000000" w:rsidRPr="00000000" w14:paraId="00000091">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 evidence, metric, comparison, or source]</w:t>
            </w:r>
            <w:r w:rsidDel="00000000" w:rsidR="00000000" w:rsidRPr="00000000">
              <w:rPr>
                <w:rtl w:val="0"/>
              </w:rPr>
            </w:r>
          </w:p>
        </w:tc>
      </w:tr>
      <w:tr>
        <w:trPr>
          <w:cantSplit w:val="0"/>
          <w:tblHeader w:val="0"/>
        </w:trPr>
        <w:tc>
          <w:tcPr/>
          <w:p w:rsidR="00000000" w:rsidDel="00000000" w:rsidP="00000000" w:rsidRDefault="00000000" w:rsidRPr="00000000" w14:paraId="00000092">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Quantified success criteria</w:t>
            </w:r>
            <w:r w:rsidDel="00000000" w:rsidR="00000000" w:rsidRPr="00000000">
              <w:rPr>
                <w:rtl w:val="0"/>
              </w:rPr>
            </w:r>
          </w:p>
        </w:tc>
        <w:tc>
          <w:tcPr/>
          <w:p w:rsidR="00000000" w:rsidDel="00000000" w:rsidP="00000000" w:rsidRDefault="00000000" w:rsidRPr="00000000" w14:paraId="00000093">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 evidence, metric, comparison, or source]</w:t>
            </w:r>
            <w:r w:rsidDel="00000000" w:rsidR="00000000" w:rsidRPr="00000000">
              <w:rPr>
                <w:rtl w:val="0"/>
              </w:rPr>
            </w:r>
          </w:p>
        </w:tc>
      </w:tr>
      <w:tr>
        <w:trPr>
          <w:cantSplit w:val="0"/>
          <w:tblHeader w:val="0"/>
        </w:trPr>
        <w:tc>
          <w:tcPr/>
          <w:p w:rsidR="00000000" w:rsidDel="00000000" w:rsidP="00000000" w:rsidRDefault="00000000" w:rsidRPr="00000000" w14:paraId="00000094">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Key risk + mitigation</w:t>
            </w:r>
            <w:r w:rsidDel="00000000" w:rsidR="00000000" w:rsidRPr="00000000">
              <w:rPr>
                <w:rtl w:val="0"/>
              </w:rPr>
            </w:r>
          </w:p>
        </w:tc>
        <w:tc>
          <w:tcPr/>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 evidence, metric, comparison, or source]</w:t>
            </w:r>
            <w:r w:rsidDel="00000000" w:rsidR="00000000" w:rsidRPr="00000000">
              <w:rPr>
                <w:rtl w:val="0"/>
              </w:rPr>
            </w:r>
          </w:p>
        </w:tc>
      </w:tr>
      <w:tr>
        <w:trPr>
          <w:cantSplit w:val="0"/>
          <w:tblHeader w:val="0"/>
        </w:trPr>
        <w:tc>
          <w:tcPr/>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b w:val="1"/>
                <w:bCs w:val="1"/>
                <w:color w:val="17365d"/>
                <w:sz w:val="19"/>
                <w:szCs w:val="19"/>
                <w:rtl w:val="0"/>
              </w:rPr>
              <w:t xml:space="preserve">Starting evidence / preliminary result</w:t>
            </w:r>
            <w:r w:rsidDel="00000000" w:rsidR="00000000" w:rsidRPr="00000000">
              <w:rPr>
                <w:rtl w:val="0"/>
              </w:rPr>
            </w:r>
          </w:p>
        </w:tc>
        <w:tc>
          <w:tcPr/>
          <w:p w:rsidR="00000000" w:rsidDel="00000000" w:rsidP="00000000" w:rsidRDefault="00000000" w:rsidRPr="00000000" w14:paraId="00000097">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 evidence, metric, comparison, or source]</w:t>
            </w:r>
            <w:r w:rsidDel="00000000" w:rsidR="00000000" w:rsidRPr="00000000">
              <w:rPr>
                <w:rtl w:val="0"/>
              </w:rPr>
            </w:r>
          </w:p>
        </w:tc>
      </w:tr>
    </w:tbl>
    <w:p w:rsidR="00000000" w:rsidDel="00000000" w:rsidP="00000000" w:rsidRDefault="00000000" w:rsidRPr="00000000" w14:paraId="00000098">
      <w:pPr>
        <w:pStyle w:val="Heading2"/>
        <w:rPr/>
      </w:pPr>
      <w:r w:rsidDel="00000000" w:rsidR="00000000" w:rsidRPr="00000000">
        <w:rPr>
          <w:rtl w:val="0"/>
        </w:rPr>
        <w:t xml:space="preserve">Drafting formula</w:t>
      </w:r>
    </w:p>
    <w:tbl>
      <w:tblPr>
        <w:tblStyle w:val="Table12"/>
        <w:tblW w:w="9360.0" w:type="dxa"/>
        <w:jc w:val="left"/>
        <w:tblLayout w:type="fixed"/>
        <w:tblLook w:val="0400"/>
      </w:tblPr>
      <w:tblGrid>
        <w:gridCol w:w="9360"/>
        <w:tblGridChange w:id="0">
          <w:tblGrid>
            <w:gridCol w:w="9360"/>
          </w:tblGrid>
        </w:tblGridChange>
      </w:tblGrid>
      <w:tr>
        <w:trPr>
          <w:cantSplit w:val="0"/>
          <w:tblHeader w:val="0"/>
        </w:trPr>
        <w:tc>
          <w:tcPr>
            <w:shd w:fill="f5f7f9" w:val="clear"/>
            <w:tcMar>
              <w:top w:w="110.0" w:type="dxa"/>
              <w:left w:w="120.0" w:type="dxa"/>
              <w:bottom w:w="110.0" w:type="dxa"/>
              <w:right w:w="120.0" w:type="dxa"/>
            </w:tcMar>
            <w:vAlign w:val="center"/>
          </w:tcPr>
          <w:p w:rsidR="00000000" w:rsidDel="00000000" w:rsidP="00000000" w:rsidRDefault="00000000" w:rsidRPr="00000000" w14:paraId="00000099">
            <w:pPr>
              <w:spacing w:after="0" w:lineRule="auto"/>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USE A TESTABLE ARC: </w:t>
            </w:r>
            <w:r w:rsidDel="00000000" w:rsidR="00000000" w:rsidRPr="00000000">
              <w:rPr>
                <w:rFonts w:ascii="Calibri" w:cs="Calibri" w:eastAsia="Calibri" w:hAnsi="Calibri"/>
                <w:sz w:val="21"/>
                <w:szCs w:val="21"/>
                <w:rtl w:val="0"/>
              </w:rPr>
              <w:t xml:space="preserve">Current approaches achieve [baseline] but fail when [condition]. Our [innovation] uses [distinct mechanism] to achieve [target]. Phase I will execute [2–3 linked tasks] and measure [metrics]. Success means [thresholds]; the principal risk is [risk], addressed through [mitigation/alternative].</w:t>
            </w:r>
            <w:r w:rsidDel="00000000" w:rsidR="00000000" w:rsidRPr="00000000">
              <w:rPr>
                <w:rtl w:val="0"/>
              </w:rPr>
            </w:r>
          </w:p>
        </w:tc>
      </w:tr>
    </w:tbl>
    <w:p w:rsidR="00000000" w:rsidDel="00000000" w:rsidP="00000000" w:rsidRDefault="00000000" w:rsidRPr="00000000" w14:paraId="0000009A">
      <w:pPr>
        <w:pStyle w:val="Heading2"/>
        <w:rPr/>
      </w:pPr>
      <w:r w:rsidDel="00000000" w:rsidR="00000000" w:rsidRPr="00000000">
        <w:rPr>
          <w:rtl w:val="0"/>
        </w:rPr>
        <w:t xml:space="preserve">Draft</w:t>
      </w:r>
    </w:p>
    <w:tbl>
      <w:tblPr>
        <w:tblStyle w:val="Table13"/>
        <w:tblW w:w="9360.0" w:type="dxa"/>
        <w:jc w:val="left"/>
        <w:tblInd w:w="-50.0" w:type="dxa"/>
        <w:tblLayout w:type="fixed"/>
        <w:tblLook w:val="0400"/>
      </w:tblPr>
      <w:tblGrid>
        <w:gridCol w:w="9360"/>
        <w:tblGridChange w:id="0">
          <w:tblGrid>
            <w:gridCol w:w="9360"/>
          </w:tblGrid>
        </w:tblGridChange>
      </w:tblGrid>
      <w:tr>
        <w:trPr>
          <w:cantSplit w:val="0"/>
          <w:tblHeader w:val="0"/>
        </w:trPr>
        <w:tc>
          <w:tcPr>
            <w:shd w:fill="fafbfc" w:val="clear"/>
            <w:tcMar>
              <w:top w:w="160.0" w:type="dxa"/>
              <w:left w:w="170.0" w:type="dxa"/>
              <w:bottom w:w="160.0" w:type="dxa"/>
              <w:right w:w="170.0" w:type="dxa"/>
            </w:tcMar>
          </w:tcPr>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i w:val="1"/>
                <w:iCs w:val="1"/>
                <w:color w:val="5e6b75"/>
                <w:sz w:val="21"/>
                <w:szCs w:val="21"/>
                <w:rtl w:val="0"/>
              </w:rPr>
              <w:t xml:space="preserve">[Draft here. Replace this text with your response. The box expands as you type.]</w:t>
            </w:r>
            <w:r w:rsidDel="00000000" w:rsidR="00000000" w:rsidRPr="00000000">
              <w:rPr>
                <w:rtl w:val="0"/>
              </w:rPr>
            </w:r>
          </w:p>
          <w:p w:rsidR="00000000" w:rsidDel="00000000" w:rsidP="00000000" w:rsidRDefault="00000000" w:rsidRPr="00000000" w14:paraId="0000009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9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9E">
      <w:pPr>
        <w:pStyle w:val="Heading2"/>
        <w:rPr/>
      </w:pPr>
      <w:r w:rsidDel="00000000" w:rsidR="00000000" w:rsidRPr="00000000">
        <w:rPr>
          <w:rtl w:val="0"/>
        </w:rPr>
        <w:t xml:space="preserve">Self-check</w:t>
      </w:r>
    </w:p>
    <w:p w:rsidR="00000000" w:rsidDel="00000000" w:rsidP="00000000" w:rsidRDefault="00000000" w:rsidRPr="00000000" w14:paraId="0000009F">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The novelty is technical, not merely a new market, interface, integration, or use of AI.</w:t>
      </w:r>
      <w:r w:rsidDel="00000000" w:rsidR="00000000" w:rsidRPr="00000000">
        <w:rPr>
          <w:rtl w:val="0"/>
        </w:rPr>
      </w:r>
    </w:p>
    <w:p w:rsidR="00000000" w:rsidDel="00000000" w:rsidP="00000000" w:rsidRDefault="00000000" w:rsidRPr="00000000" w14:paraId="000000A0">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Every task produces a measurable result tied to the central feasibility question.</w:t>
      </w:r>
      <w:r w:rsidDel="00000000" w:rsidR="00000000" w:rsidRPr="00000000">
        <w:rPr>
          <w:rtl w:val="0"/>
        </w:rPr>
      </w:r>
    </w:p>
    <w:p w:rsidR="00000000" w:rsidDel="00000000" w:rsidP="00000000" w:rsidRDefault="00000000" w:rsidRPr="00000000" w14:paraId="000000A1">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Claims are supported by data, literature, patents, benchmarks, or clearly labeled assumptions.</w:t>
      </w:r>
      <w:r w:rsidDel="00000000" w:rsidR="00000000" w:rsidRPr="00000000">
        <w:rPr>
          <w:rtl w:val="0"/>
        </w:rPr>
      </w:r>
    </w:p>
    <w:p w:rsidR="00000000" w:rsidDel="00000000" w:rsidP="00000000" w:rsidRDefault="00000000" w:rsidRPr="00000000" w14:paraId="000000A2">
      <w:pPr>
        <w:pageBreakBefore w:val="1"/>
        <w:rPr>
          <w:rFonts w:ascii="Calibri" w:cs="Calibri" w:eastAsia="Calibri" w:hAnsi="Calibri"/>
        </w:rPr>
      </w:pPr>
      <w:r w:rsidDel="00000000" w:rsidR="00000000" w:rsidRPr="00000000">
        <w:rPr>
          <w:rtl w:val="0"/>
        </w:rPr>
      </w:r>
    </w:p>
    <w:p w:rsidR="00000000" w:rsidDel="00000000" w:rsidP="00000000" w:rsidRDefault="00000000" w:rsidRPr="00000000" w14:paraId="000000A3">
      <w:pPr>
        <w:pStyle w:val="Heading1"/>
        <w:rPr/>
      </w:pPr>
      <w:r w:rsidDel="00000000" w:rsidR="00000000" w:rsidRPr="00000000">
        <w:rPr>
          <w:rtl w:val="0"/>
        </w:rPr>
        <w:t xml:space="preserve">5. Pitch Worksheet 3: Commercialization Potential</w:t>
      </w:r>
    </w:p>
    <w:tbl>
      <w:tblPr>
        <w:tblStyle w:val="Table14"/>
        <w:tblW w:w="9360.0" w:type="dxa"/>
        <w:jc w:val="left"/>
        <w:tblLayout w:type="fixed"/>
        <w:tblLook w:val="0400"/>
      </w:tblPr>
      <w:tblGrid>
        <w:gridCol w:w="9360"/>
        <w:tblGridChange w:id="0">
          <w:tblGrid>
            <w:gridCol w:w="9360"/>
          </w:tblGrid>
        </w:tblGridChange>
      </w:tblGrid>
      <w:tr>
        <w:trPr>
          <w:cantSplit w:val="0"/>
          <w:tblHeader w:val="0"/>
        </w:trPr>
        <w:tc>
          <w:tcPr>
            <w:shd w:fill="e8f3f2" w:val="clear"/>
            <w:tcMar>
              <w:top w:w="110.0" w:type="dxa"/>
              <w:left w:w="120.0" w:type="dxa"/>
              <w:bottom w:w="110.0" w:type="dxa"/>
              <w:right w:w="120.0" w:type="dxa"/>
            </w:tcMar>
            <w:vAlign w:val="center"/>
          </w:tcPr>
          <w:p w:rsidR="00000000" w:rsidDel="00000000" w:rsidP="00000000" w:rsidRDefault="00000000" w:rsidRPr="00000000" w14:paraId="000000A4">
            <w:pPr>
              <w:spacing w:after="0" w:lineRule="auto"/>
              <w:rPr>
                <w:rFonts w:ascii="Calibri" w:cs="Calibri" w:eastAsia="Calibri" w:hAnsi="Calibri"/>
              </w:rPr>
            </w:pPr>
            <w:r w:rsidDel="00000000" w:rsidR="00000000" w:rsidRPr="00000000">
              <w:rPr>
                <w:rFonts w:ascii="Calibri" w:cs="Calibri" w:eastAsia="Calibri" w:hAnsi="Calibri"/>
                <w:b w:val="1"/>
                <w:bCs w:val="1"/>
                <w:color w:val="147d7e"/>
                <w:sz w:val="21"/>
                <w:szCs w:val="21"/>
                <w:rtl w:val="0"/>
              </w:rPr>
              <w:t xml:space="preserve">DOE IS TESTING: </w:t>
            </w:r>
            <w:r w:rsidDel="00000000" w:rsidR="00000000" w:rsidRPr="00000000">
              <w:rPr>
                <w:rFonts w:ascii="Calibri" w:cs="Calibri" w:eastAsia="Calibri" w:hAnsi="Calibri"/>
                <w:sz w:val="21"/>
                <w:szCs w:val="21"/>
                <w:rtl w:val="0"/>
              </w:rPr>
              <w:t xml:space="preserve">Is there a compelling value proposition, a credible competitive position, and a realistic path to market, including supply chain and sales channels?</w:t>
            </w:r>
            <w:r w:rsidDel="00000000" w:rsidR="00000000" w:rsidRPr="00000000">
              <w:rPr>
                <w:rtl w:val="0"/>
              </w:rPr>
            </w:r>
          </w:p>
        </w:tc>
      </w:tr>
    </w:tbl>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Paste the exact live AMP prompt: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A6">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Maximum words: </w:t>
      </w:r>
      <w:r w:rsidDel="00000000" w:rsidR="00000000" w:rsidRPr="00000000">
        <w:rPr>
          <w:rFonts w:ascii="Calibri" w:cs="Calibri" w:eastAsia="Calibri" w:hAnsi="Calibri"/>
          <w:i w:val="1"/>
          <w:iCs w:val="1"/>
          <w:color w:val="5e6b75"/>
          <w:sz w:val="21"/>
          <w:szCs w:val="21"/>
          <w:rtl w:val="0"/>
        </w:rPr>
        <w:t xml:space="preserve">200</w:t>
      </w:r>
      <w:r w:rsidDel="00000000" w:rsidR="00000000" w:rsidRPr="00000000">
        <w:rPr>
          <w:rtl w:val="0"/>
        </w:rPr>
      </w:r>
    </w:p>
    <w:p w:rsidR="00000000" w:rsidDel="00000000" w:rsidP="00000000" w:rsidRDefault="00000000" w:rsidRPr="00000000" w14:paraId="000000A7">
      <w:pPr>
        <w:pStyle w:val="Heading2"/>
        <w:rPr/>
      </w:pPr>
      <w:r w:rsidDel="00000000" w:rsidR="00000000" w:rsidRPr="00000000">
        <w:rPr>
          <w:rtl w:val="0"/>
        </w:rPr>
        <w:t xml:space="preserve">Commercial proof points</w:t>
      </w:r>
    </w:p>
    <w:p w:rsidR="00000000" w:rsidDel="00000000" w:rsidP="00000000" w:rsidRDefault="00000000" w:rsidRPr="00000000" w14:paraId="000000A8">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Primary end user and economic buyer/procurement decision-maker: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A9">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Painful job, cost, delay, risk, or missed capability: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AA">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Current workaround and why it is inadequate: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AB">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Quantified customer value (cost, speed, yield, accuracy, safety, resilience, revenue):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Closest competing solutions and defensible differentiation: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AD">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First beachhead market and why it is accessible: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AE">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Sales/procurement channel and critical supply-chain, regulatory, manufacturing, data, or integration constraint: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AF">
      <w:pPr>
        <w:rPr>
          <w:rFonts w:ascii="Calibri" w:cs="Calibri" w:eastAsia="Calibri" w:hAnsi="Calibri"/>
          <w:i w:val="1"/>
          <w:iCs w:val="1"/>
          <w:color w:val="5e6b75"/>
          <w:sz w:val="21"/>
          <w:szCs w:val="21"/>
        </w:rPr>
      </w:pPr>
      <w:r w:rsidDel="00000000" w:rsidR="00000000" w:rsidRPr="00000000">
        <w:rPr>
          <w:rFonts w:ascii="Calibri" w:cs="Calibri" w:eastAsia="Calibri" w:hAnsi="Calibri"/>
          <w:b w:val="1"/>
          <w:bCs w:val="1"/>
          <w:color w:val="17365d"/>
          <w:sz w:val="21"/>
          <w:szCs w:val="21"/>
          <w:rtl w:val="0"/>
        </w:rPr>
        <w:t xml:space="preserve">Existing evidence: interviews, pilots, LOIs, paid work, strategic partner, or demand signal: </w:t>
      </w:r>
      <w:r w:rsidDel="00000000" w:rsidR="00000000" w:rsidRPr="00000000">
        <w:rPr>
          <w:rFonts w:ascii="Calibri" w:cs="Calibri" w:eastAsia="Calibri" w:hAnsi="Calibri"/>
          <w:i w:val="1"/>
          <w:iCs w:val="1"/>
          <w:color w:val="5e6b75"/>
          <w:sz w:val="21"/>
          <w:szCs w:val="21"/>
          <w:rtl w:val="0"/>
        </w:rPr>
        <w:t xml:space="preserve">[Enter here]</w:t>
      </w:r>
    </w:p>
    <w:p w:rsidR="00000000" w:rsidDel="00000000" w:rsidP="00000000" w:rsidRDefault="00000000" w:rsidRPr="00000000" w14:paraId="000000B0">
      <w:pPr>
        <w:rPr>
          <w:rFonts w:ascii="Calibri" w:cs="Calibri" w:eastAsia="Calibri" w:hAnsi="Calibri"/>
          <w:i w:val="1"/>
          <w:iCs w:val="1"/>
          <w:color w:val="17365d"/>
          <w:sz w:val="21"/>
          <w:szCs w:val="21"/>
        </w:rPr>
      </w:pPr>
      <w:r w:rsidDel="00000000" w:rsidR="00000000" w:rsidRPr="00000000">
        <w:rPr>
          <w:rFonts w:ascii="Calibri" w:cs="Calibri" w:eastAsia="Calibri" w:hAnsi="Calibri"/>
          <w:b w:val="1"/>
          <w:bCs w:val="1"/>
          <w:i w:val="1"/>
          <w:iCs w:val="1"/>
          <w:color w:val="17365d"/>
          <w:sz w:val="21"/>
          <w:szCs w:val="21"/>
          <w:rtl w:val="0"/>
        </w:rPr>
        <w:t xml:space="preserve">Why now?</w:t>
      </w:r>
      <w:r w:rsidDel="00000000" w:rsidR="00000000" w:rsidRPr="00000000">
        <w:rPr>
          <w:rFonts w:ascii="Calibri" w:cs="Calibri" w:eastAsia="Calibri" w:hAnsi="Calibri"/>
          <w:i w:val="1"/>
          <w:iCs w:val="1"/>
          <w:color w:val="17365d"/>
          <w:sz w:val="21"/>
          <w:szCs w:val="21"/>
          <w:rtl w:val="0"/>
        </w:rPr>
        <w:t xml:space="preserve"> What technical, market, regulatory, supply-chain, national-security, or industry change makes this opportunity timely?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B1">
      <w:pPr>
        <w:pStyle w:val="Heading2"/>
        <w:rPr/>
      </w:pPr>
      <w:r w:rsidDel="00000000" w:rsidR="00000000" w:rsidRPr="00000000">
        <w:rPr>
          <w:rtl w:val="0"/>
        </w:rPr>
        <w:t xml:space="preserve">Drafting formula</w:t>
      </w:r>
    </w:p>
    <w:tbl>
      <w:tblPr>
        <w:tblStyle w:val="Table15"/>
        <w:tblW w:w="9360.0" w:type="dxa"/>
        <w:jc w:val="left"/>
        <w:tblLayout w:type="fixed"/>
        <w:tblLook w:val="0400"/>
      </w:tblPr>
      <w:tblGrid>
        <w:gridCol w:w="9360"/>
        <w:tblGridChange w:id="0">
          <w:tblGrid>
            <w:gridCol w:w="9360"/>
          </w:tblGrid>
        </w:tblGridChange>
      </w:tblGrid>
      <w:tr>
        <w:trPr>
          <w:cantSplit w:val="0"/>
          <w:tblHeader w:val="0"/>
        </w:trPr>
        <w:tc>
          <w:tcPr>
            <w:shd w:fill="f5f7f9" w:val="clear"/>
            <w:tcMar>
              <w:top w:w="110.0" w:type="dxa"/>
              <w:left w:w="120.0" w:type="dxa"/>
              <w:bottom w:w="110.0" w:type="dxa"/>
              <w:right w:w="120.0" w:type="dxa"/>
            </w:tcMar>
            <w:vAlign w:val="center"/>
          </w:tcPr>
          <w:p w:rsidR="00000000" w:rsidDel="00000000" w:rsidP="00000000" w:rsidRDefault="00000000" w:rsidRPr="00000000" w14:paraId="000000B2">
            <w:pPr>
              <w:spacing w:after="0" w:lineRule="auto"/>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MOVE FROM MARKET SIZE TO BUYER LOGIC: </w:t>
            </w:r>
            <w:r w:rsidDel="00000000" w:rsidR="00000000" w:rsidRPr="00000000">
              <w:rPr>
                <w:rFonts w:ascii="Calibri" w:cs="Calibri" w:eastAsia="Calibri" w:hAnsi="Calibri"/>
                <w:sz w:val="21"/>
                <w:szCs w:val="21"/>
                <w:rtl w:val="0"/>
              </w:rPr>
              <w:t xml:space="preserve">For [specific buyer] facing [pain], the innovation delivers [quantified value] compared with [alternatives]. We will enter through [beachhead/use case] using [sales/procurement channel]. Adoption depends on [key constraint], which we will address through [partner/plan]. Evidence of demand includes [specific validation].</w:t>
            </w:r>
            <w:r w:rsidDel="00000000" w:rsidR="00000000" w:rsidRPr="00000000">
              <w:rPr>
                <w:rtl w:val="0"/>
              </w:rPr>
            </w:r>
          </w:p>
        </w:tc>
      </w:tr>
    </w:tbl>
    <w:p w:rsidR="00000000" w:rsidDel="00000000" w:rsidP="00000000" w:rsidRDefault="00000000" w:rsidRPr="00000000" w14:paraId="000000B3">
      <w:pPr>
        <w:pStyle w:val="Heading2"/>
        <w:rPr/>
      </w:pPr>
      <w:r w:rsidDel="00000000" w:rsidR="00000000" w:rsidRPr="00000000">
        <w:rPr>
          <w:rtl w:val="0"/>
        </w:rPr>
        <w:t xml:space="preserve">Draft</w:t>
      </w:r>
    </w:p>
    <w:tbl>
      <w:tblPr>
        <w:tblStyle w:val="Table16"/>
        <w:tblW w:w="9360.0" w:type="dxa"/>
        <w:jc w:val="left"/>
        <w:tblInd w:w="-50.0" w:type="dxa"/>
        <w:tblLayout w:type="fixed"/>
        <w:tblLook w:val="0400"/>
      </w:tblPr>
      <w:tblGrid>
        <w:gridCol w:w="9360"/>
        <w:tblGridChange w:id="0">
          <w:tblGrid>
            <w:gridCol w:w="9360"/>
          </w:tblGrid>
        </w:tblGridChange>
      </w:tblGrid>
      <w:tr>
        <w:trPr>
          <w:cantSplit w:val="0"/>
          <w:tblHeader w:val="0"/>
        </w:trPr>
        <w:tc>
          <w:tcPr>
            <w:shd w:fill="fafbfc" w:val="clear"/>
            <w:tcMar>
              <w:top w:w="160.0" w:type="dxa"/>
              <w:left w:w="170.0" w:type="dxa"/>
              <w:bottom w:w="160.0" w:type="dxa"/>
              <w:right w:w="170.0" w:type="dxa"/>
            </w:tcMar>
          </w:tcPr>
          <w:p w:rsidR="00000000" w:rsidDel="00000000" w:rsidP="00000000" w:rsidRDefault="00000000" w:rsidRPr="00000000" w14:paraId="000000B4">
            <w:pPr>
              <w:rPr>
                <w:rFonts w:ascii="Calibri" w:cs="Calibri" w:eastAsia="Calibri" w:hAnsi="Calibri"/>
              </w:rPr>
            </w:pPr>
            <w:r w:rsidDel="00000000" w:rsidR="00000000" w:rsidRPr="00000000">
              <w:rPr>
                <w:rFonts w:ascii="Calibri" w:cs="Calibri" w:eastAsia="Calibri" w:hAnsi="Calibri"/>
                <w:i w:val="1"/>
                <w:iCs w:val="1"/>
                <w:color w:val="5e6b75"/>
                <w:sz w:val="21"/>
                <w:szCs w:val="21"/>
                <w:rtl w:val="0"/>
              </w:rPr>
              <w:t xml:space="preserve">[Draft here. Replace this text with your response. The box expands as you type.]</w:t>
            </w:r>
            <w:r w:rsidDel="00000000" w:rsidR="00000000" w:rsidRPr="00000000">
              <w:rPr>
                <w:rtl w:val="0"/>
              </w:rPr>
            </w:r>
          </w:p>
          <w:p w:rsidR="00000000" w:rsidDel="00000000" w:rsidP="00000000" w:rsidRDefault="00000000" w:rsidRPr="00000000" w14:paraId="000000B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B6">
      <w:pPr>
        <w:pStyle w:val="Heading2"/>
        <w:rPr/>
      </w:pPr>
      <w:r w:rsidDel="00000000" w:rsidR="00000000" w:rsidRPr="00000000">
        <w:rPr>
          <w:rtl w:val="0"/>
        </w:rPr>
        <w:t xml:space="preserve">Self-check</w:t>
      </w:r>
    </w:p>
    <w:p w:rsidR="00000000" w:rsidDel="00000000" w:rsidP="00000000" w:rsidRDefault="00000000" w:rsidRPr="00000000" w14:paraId="000000B7">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The response names who uses, who buys, and why they will switch.</w:t>
      </w:r>
      <w:r w:rsidDel="00000000" w:rsidR="00000000" w:rsidRPr="00000000">
        <w:rPr>
          <w:rtl w:val="0"/>
        </w:rPr>
      </w:r>
    </w:p>
    <w:p w:rsidR="00000000" w:rsidDel="00000000" w:rsidP="00000000" w:rsidRDefault="00000000" w:rsidRPr="00000000" w14:paraId="000000B8">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The value proposition is quantified or testable, not a list of features.</w:t>
      </w:r>
      <w:r w:rsidDel="00000000" w:rsidR="00000000" w:rsidRPr="00000000">
        <w:rPr>
          <w:rtl w:val="0"/>
        </w:rPr>
      </w:r>
    </w:p>
    <w:p w:rsidR="00000000" w:rsidDel="00000000" w:rsidP="00000000" w:rsidRDefault="00000000" w:rsidRPr="00000000" w14:paraId="000000B9">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The path to market acknowledges a real adoption constraint and a credible way through it.</w:t>
      </w:r>
      <w:r w:rsidDel="00000000" w:rsidR="00000000" w:rsidRPr="00000000">
        <w:rPr>
          <w:rtl w:val="0"/>
        </w:rPr>
      </w:r>
    </w:p>
    <w:p w:rsidR="00000000" w:rsidDel="00000000" w:rsidP="00000000" w:rsidRDefault="00000000" w:rsidRPr="00000000" w14:paraId="000000BA">
      <w:pPr>
        <w:pageBreakBefore w:val="1"/>
        <w:rPr>
          <w:rFonts w:ascii="Calibri" w:cs="Calibri" w:eastAsia="Calibri" w:hAnsi="Calibri"/>
        </w:rPr>
      </w:pPr>
      <w:r w:rsidDel="00000000" w:rsidR="00000000" w:rsidRPr="00000000">
        <w:rPr>
          <w:rtl w:val="0"/>
        </w:rPr>
      </w:r>
    </w:p>
    <w:p w:rsidR="00000000" w:rsidDel="00000000" w:rsidP="00000000" w:rsidRDefault="00000000" w:rsidRPr="00000000" w14:paraId="000000BB">
      <w:pPr>
        <w:pStyle w:val="Heading1"/>
        <w:rPr/>
      </w:pPr>
      <w:r w:rsidDel="00000000" w:rsidR="00000000" w:rsidRPr="00000000">
        <w:rPr>
          <w:rtl w:val="0"/>
        </w:rPr>
        <w:t xml:space="preserve">6. Pitch Worksheet 4: Team Qualifications</w:t>
      </w:r>
    </w:p>
    <w:tbl>
      <w:tblPr>
        <w:tblStyle w:val="Table17"/>
        <w:tblW w:w="9360.0" w:type="dxa"/>
        <w:jc w:val="left"/>
        <w:tblLayout w:type="fixed"/>
        <w:tblLook w:val="0400"/>
      </w:tblPr>
      <w:tblGrid>
        <w:gridCol w:w="9360"/>
        <w:tblGridChange w:id="0">
          <w:tblGrid>
            <w:gridCol w:w="9360"/>
          </w:tblGrid>
        </w:tblGridChange>
      </w:tblGrid>
      <w:tr>
        <w:trPr>
          <w:cantSplit w:val="0"/>
          <w:tblHeader w:val="0"/>
        </w:trPr>
        <w:tc>
          <w:tcPr>
            <w:shd w:fill="e8f3f2" w:val="clear"/>
            <w:tcMar>
              <w:top w:w="110.0" w:type="dxa"/>
              <w:left w:w="120.0" w:type="dxa"/>
              <w:bottom w:w="110.0" w:type="dxa"/>
              <w:right w:w="120.0" w:type="dxa"/>
            </w:tcMar>
            <w:vAlign w:val="center"/>
          </w:tcPr>
          <w:p w:rsidR="00000000" w:rsidDel="00000000" w:rsidP="00000000" w:rsidRDefault="00000000" w:rsidRPr="00000000" w14:paraId="000000BC">
            <w:pPr>
              <w:spacing w:after="0" w:lineRule="auto"/>
              <w:rPr>
                <w:rFonts w:ascii="Calibri" w:cs="Calibri" w:eastAsia="Calibri" w:hAnsi="Calibri"/>
              </w:rPr>
            </w:pPr>
            <w:r w:rsidDel="00000000" w:rsidR="00000000" w:rsidRPr="00000000">
              <w:rPr>
                <w:rFonts w:ascii="Calibri" w:cs="Calibri" w:eastAsia="Calibri" w:hAnsi="Calibri"/>
                <w:b w:val="1"/>
                <w:bCs w:val="1"/>
                <w:color w:val="147d7e"/>
                <w:sz w:val="21"/>
                <w:szCs w:val="21"/>
                <w:rtl w:val="0"/>
              </w:rPr>
              <w:t xml:space="preserve">DOE IS TESTING: </w:t>
            </w:r>
            <w:r w:rsidDel="00000000" w:rsidR="00000000" w:rsidRPr="00000000">
              <w:rPr>
                <w:rFonts w:ascii="Calibri" w:cs="Calibri" w:eastAsia="Calibri" w:hAnsi="Calibri"/>
                <w:sz w:val="21"/>
                <w:szCs w:val="21"/>
                <w:rtl w:val="0"/>
              </w:rPr>
              <w:t xml:space="preserve">Can this company and its partners execute the proposed R&amp;D, translate the technology into a viable commercial opportunity, and use DOE funding to achieve a meaningful technical and business inflection point?</w:t>
            </w:r>
            <w:r w:rsidDel="00000000" w:rsidR="00000000" w:rsidRPr="00000000">
              <w:rPr>
                <w:rtl w:val="0"/>
              </w:rPr>
            </w:r>
          </w:p>
        </w:tc>
      </w:tr>
    </w:tbl>
    <w:p w:rsidR="00000000" w:rsidDel="00000000" w:rsidP="00000000" w:rsidRDefault="00000000" w:rsidRPr="00000000" w14:paraId="000000BD">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Paste the exact live AMP prompt: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Maximum words: </w:t>
      </w:r>
      <w:r w:rsidDel="00000000" w:rsidR="00000000" w:rsidRPr="00000000">
        <w:rPr>
          <w:rFonts w:ascii="Calibri" w:cs="Calibri" w:eastAsia="Calibri" w:hAnsi="Calibri"/>
          <w:i w:val="1"/>
          <w:iCs w:val="1"/>
          <w:color w:val="5e6b75"/>
          <w:sz w:val="21"/>
          <w:szCs w:val="21"/>
          <w:rtl w:val="0"/>
        </w:rPr>
        <w:t xml:space="preserve">200 </w:t>
      </w:r>
      <w:r w:rsidDel="00000000" w:rsidR="00000000" w:rsidRPr="00000000">
        <w:rPr>
          <w:rtl w:val="0"/>
        </w:rPr>
      </w:r>
    </w:p>
    <w:p w:rsidR="00000000" w:rsidDel="00000000" w:rsidP="00000000" w:rsidRDefault="00000000" w:rsidRPr="00000000" w14:paraId="000000BF">
      <w:pPr>
        <w:pStyle w:val="Heading2"/>
        <w:rPr/>
      </w:pPr>
      <w:r w:rsidDel="00000000" w:rsidR="00000000" w:rsidRPr="00000000">
        <w:rPr>
          <w:rtl w:val="0"/>
        </w:rPr>
        <w:t xml:space="preserve">Capability-to-task map</w:t>
      </w:r>
      <w:r w:rsidDel="00000000" w:rsidR="00000000" w:rsidRPr="00000000">
        <w:rPr>
          <w:rtl w:val="0"/>
        </w:rPr>
      </w:r>
    </w:p>
    <w:tbl>
      <w:tblPr>
        <w:tblStyle w:val="Table18"/>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10.627615062762"/>
        <w:gridCol w:w="1311.9665271966528"/>
        <w:gridCol w:w="2795.271966527197"/>
        <w:gridCol w:w="2942.1338912133892"/>
        <w:tblGridChange w:id="0">
          <w:tblGrid>
            <w:gridCol w:w="2310.627615062762"/>
            <w:gridCol w:w="1311.9665271966528"/>
            <w:gridCol w:w="2795.271966527197"/>
            <w:gridCol w:w="2942.1338912133892"/>
          </w:tblGrid>
        </w:tblGridChange>
      </w:tblGrid>
      <w:tr>
        <w:trPr>
          <w:cantSplit w:val="0"/>
          <w:trHeight w:val="1040" w:hRule="atLeast"/>
          <w:tblHeader w:val="0"/>
        </w:trPr>
        <w:tc>
          <w:tcPr>
            <w:tcBorders>
              <w:top w:color="000000" w:space="0" w:sz="0" w:val="nil"/>
              <w:left w:color="000000" w:space="0" w:sz="0" w:val="nil"/>
              <w:bottom w:color="000000" w:space="0" w:sz="0" w:val="nil"/>
              <w:right w:color="000000" w:space="0" w:sz="0" w:val="nil"/>
            </w:tcBorders>
            <w:shd w:fill="17365d" w:val="clear"/>
            <w:tcMar>
              <w:top w:w="43.2" w:type="dxa"/>
              <w:left w:w="43.2" w:type="dxa"/>
              <w:bottom w:w="43.2" w:type="dxa"/>
              <w:right w:w="43.2" w:type="dxa"/>
            </w:tcMar>
            <w:vAlign w:val="center"/>
          </w:tcPr>
          <w:p w:rsidR="00000000" w:rsidDel="00000000" w:rsidP="00000000" w:rsidRDefault="00000000" w:rsidRPr="00000000" w14:paraId="000000C0">
            <w:pPr>
              <w:jc w:val="center"/>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Critical Task / Capability</w:t>
            </w:r>
          </w:p>
        </w:tc>
        <w:tc>
          <w:tcPr>
            <w:tcBorders>
              <w:top w:color="000000" w:space="0" w:sz="0" w:val="nil"/>
              <w:left w:color="000000" w:space="0" w:sz="0" w:val="nil"/>
              <w:bottom w:color="000000" w:space="0" w:sz="0" w:val="nil"/>
              <w:right w:color="000000" w:space="0" w:sz="0" w:val="nil"/>
            </w:tcBorders>
            <w:shd w:fill="17365d" w:val="clear"/>
            <w:tcMar>
              <w:top w:w="43.2" w:type="dxa"/>
              <w:left w:w="43.2" w:type="dxa"/>
              <w:bottom w:w="43.2" w:type="dxa"/>
              <w:right w:w="43.2" w:type="dxa"/>
            </w:tcMar>
            <w:vAlign w:val="center"/>
          </w:tcPr>
          <w:p w:rsidR="00000000" w:rsidDel="00000000" w:rsidP="00000000" w:rsidRDefault="00000000" w:rsidRPr="00000000" w14:paraId="000000C1">
            <w:pPr>
              <w:jc w:val="center"/>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Who Owns It?</w:t>
            </w:r>
          </w:p>
        </w:tc>
        <w:tc>
          <w:tcPr>
            <w:tcBorders>
              <w:top w:color="000000" w:space="0" w:sz="0" w:val="nil"/>
              <w:left w:color="000000" w:space="0" w:sz="0" w:val="nil"/>
              <w:bottom w:color="000000" w:space="0" w:sz="0" w:val="nil"/>
              <w:right w:color="000000" w:space="0" w:sz="0" w:val="nil"/>
            </w:tcBorders>
            <w:shd w:fill="17365d" w:val="clear"/>
            <w:tcMar>
              <w:top w:w="43.2" w:type="dxa"/>
              <w:left w:w="43.2" w:type="dxa"/>
              <w:bottom w:w="43.2" w:type="dxa"/>
              <w:right w:w="43.2" w:type="dxa"/>
            </w:tcMar>
            <w:vAlign w:val="center"/>
          </w:tcPr>
          <w:p w:rsidR="00000000" w:rsidDel="00000000" w:rsidP="00000000" w:rsidRDefault="00000000" w:rsidRPr="00000000" w14:paraId="000000C2">
            <w:pPr>
              <w:jc w:val="center"/>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Evidence of Capability</w:t>
            </w:r>
          </w:p>
        </w:tc>
        <w:tc>
          <w:tcPr>
            <w:tcBorders>
              <w:top w:color="000000" w:space="0" w:sz="0" w:val="nil"/>
              <w:left w:color="000000" w:space="0" w:sz="0" w:val="nil"/>
              <w:bottom w:color="000000" w:space="0" w:sz="0" w:val="nil"/>
              <w:right w:color="000000" w:space="0" w:sz="0" w:val="nil"/>
            </w:tcBorders>
            <w:shd w:fill="17365d" w:val="clear"/>
            <w:tcMar>
              <w:top w:w="43.2" w:type="dxa"/>
              <w:left w:w="43.2" w:type="dxa"/>
              <w:bottom w:w="43.2" w:type="dxa"/>
              <w:right w:w="43.2" w:type="dxa"/>
            </w:tcMar>
            <w:vAlign w:val="center"/>
          </w:tcPr>
          <w:p w:rsidR="00000000" w:rsidDel="00000000" w:rsidP="00000000" w:rsidRDefault="00000000" w:rsidRPr="00000000" w14:paraId="000000C3">
            <w:pPr>
              <w:jc w:val="center"/>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Why This Matters to Phase I / Commercialization</w:t>
            </w:r>
          </w:p>
        </w:tc>
      </w:tr>
      <w:tr>
        <w:trPr>
          <w:cantSplit w:val="0"/>
          <w:trHeight w:val="15" w:hRule="atLeast"/>
          <w:tblHeader w:val="0"/>
        </w:trPr>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4">
            <w:pPr>
              <w:rPr>
                <w:rFonts w:ascii="Calibri" w:cs="Calibri" w:eastAsia="Calibri" w:hAnsi="Calibri"/>
                <w:b w:val="1"/>
                <w:bCs w:val="1"/>
                <w:color w:val="17365d"/>
                <w:sz w:val="18"/>
                <w:szCs w:val="18"/>
              </w:rPr>
            </w:pPr>
            <w:r w:rsidDel="00000000" w:rsidR="00000000" w:rsidRPr="00000000">
              <w:rPr>
                <w:rFonts w:ascii="Calibri" w:cs="Calibri" w:eastAsia="Calibri" w:hAnsi="Calibri"/>
                <w:b w:val="1"/>
                <w:bCs w:val="1"/>
                <w:color w:val="17365d"/>
                <w:sz w:val="18"/>
                <w:szCs w:val="18"/>
                <w:rtl w:val="0"/>
              </w:rPr>
              <w:t xml:space="preserve">Core technical R&amp;D</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5">
            <w:pPr>
              <w:rPr>
                <w:rFonts w:ascii="Calibri" w:cs="Calibri" w:eastAsia="Calibri" w:hAnsi="Calibri"/>
                <w:sz w:val="18"/>
                <w:szCs w:val="18"/>
              </w:rPr>
            </w:pPr>
            <w:r w:rsidDel="00000000" w:rsidR="00000000" w:rsidRPr="00000000">
              <w:rPr>
                <w:rFonts w:ascii="Calibri" w:cs="Calibri" w:eastAsia="Calibri" w:hAnsi="Calibri"/>
                <w:i w:val="1"/>
                <w:iCs w:val="1"/>
                <w:color w:val="5e6b75"/>
                <w:sz w:val="18"/>
                <w:szCs w:val="18"/>
                <w:rtl w:val="0"/>
              </w:rPr>
              <w:t xml:space="preserve">Name, role, evidence]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Relevant expertise, prior R&amp;D, publications, patents, products, or technical accomplishments</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Demonstrates the ability to execute the proposed technical work and resolve the key Phase I risk</w:t>
            </w:r>
          </w:p>
        </w:tc>
      </w:tr>
      <w:tr>
        <w:trPr>
          <w:cantSplit w:val="0"/>
          <w:trHeight w:val="120" w:hRule="atLeast"/>
          <w:tblHeader w:val="0"/>
        </w:trPr>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8">
            <w:pPr>
              <w:rPr>
                <w:rFonts w:ascii="Calibri" w:cs="Calibri" w:eastAsia="Calibri" w:hAnsi="Calibri"/>
                <w:b w:val="1"/>
                <w:bCs w:val="1"/>
                <w:color w:val="17365d"/>
                <w:sz w:val="18"/>
                <w:szCs w:val="18"/>
              </w:rPr>
            </w:pPr>
            <w:r w:rsidDel="00000000" w:rsidR="00000000" w:rsidRPr="00000000">
              <w:rPr>
                <w:rFonts w:ascii="Calibri" w:cs="Calibri" w:eastAsia="Calibri" w:hAnsi="Calibri"/>
                <w:b w:val="1"/>
                <w:bCs w:val="1"/>
                <w:color w:val="17365d"/>
                <w:sz w:val="18"/>
                <w:szCs w:val="18"/>
                <w:rtl w:val="0"/>
              </w:rPr>
              <w:t xml:space="preserve">Testing / Validation</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9">
            <w:pPr>
              <w:rPr>
                <w:rFonts w:ascii="Calibri" w:cs="Calibri" w:eastAsia="Calibri" w:hAnsi="Calibri"/>
                <w:sz w:val="18"/>
                <w:szCs w:val="18"/>
              </w:rPr>
            </w:pPr>
            <w:r w:rsidDel="00000000" w:rsidR="00000000" w:rsidRPr="00000000">
              <w:rPr>
                <w:rFonts w:ascii="Calibri" w:cs="Calibri" w:eastAsia="Calibri" w:hAnsi="Calibri"/>
                <w:i w:val="1"/>
                <w:iCs w:val="1"/>
                <w:color w:val="5e6b75"/>
                <w:sz w:val="18"/>
                <w:szCs w:val="18"/>
                <w:rtl w:val="0"/>
              </w:rPr>
              <w:t xml:space="preserve">Name, role, evidence]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Relevant testing experience, facilities, equipment, methods, certifications, or prior validation work</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Demonstrates that Phase I results can be measured credibly against defined technical benchmarks</w:t>
            </w:r>
          </w:p>
        </w:tc>
      </w:tr>
      <w:tr>
        <w:trPr>
          <w:cantSplit w:val="0"/>
          <w:trHeight w:val="0" w:hRule="atLeast"/>
          <w:tblHeader w:val="0"/>
        </w:trPr>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C">
            <w:pPr>
              <w:rPr>
                <w:rFonts w:ascii="Calibri" w:cs="Calibri" w:eastAsia="Calibri" w:hAnsi="Calibri"/>
                <w:b w:val="1"/>
                <w:bCs w:val="1"/>
                <w:color w:val="17365d"/>
                <w:sz w:val="18"/>
                <w:szCs w:val="18"/>
              </w:rPr>
            </w:pPr>
            <w:r w:rsidDel="00000000" w:rsidR="00000000" w:rsidRPr="00000000">
              <w:rPr>
                <w:rFonts w:ascii="Calibri" w:cs="Calibri" w:eastAsia="Calibri" w:hAnsi="Calibri"/>
                <w:b w:val="1"/>
                <w:bCs w:val="1"/>
                <w:color w:val="17365d"/>
                <w:sz w:val="18"/>
                <w:szCs w:val="18"/>
                <w:rtl w:val="0"/>
              </w:rPr>
              <w:t xml:space="preserve">Specialized capability / facilities</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D">
            <w:pPr>
              <w:rPr>
                <w:rFonts w:ascii="Calibri" w:cs="Calibri" w:eastAsia="Calibri" w:hAnsi="Calibri"/>
                <w:sz w:val="18"/>
                <w:szCs w:val="18"/>
              </w:rPr>
            </w:pPr>
            <w:r w:rsidDel="00000000" w:rsidR="00000000" w:rsidRPr="00000000">
              <w:rPr>
                <w:rFonts w:ascii="Calibri" w:cs="Calibri" w:eastAsia="Calibri" w:hAnsi="Calibri"/>
                <w:i w:val="1"/>
                <w:iCs w:val="1"/>
                <w:color w:val="5e6b75"/>
                <w:sz w:val="18"/>
                <w:szCs w:val="18"/>
                <w:rtl w:val="0"/>
              </w:rPr>
              <w:t xml:space="preserve">Name, role, evidence]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Specialized expertise, equipment, laboratory access, data, facilities, or other resources</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C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Addresses capabilities or infrastructure that the company does not maintain internally</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0">
            <w:pPr>
              <w:rPr>
                <w:rFonts w:ascii="Calibri" w:cs="Calibri" w:eastAsia="Calibri" w:hAnsi="Calibri"/>
                <w:b w:val="1"/>
                <w:bCs w:val="1"/>
                <w:color w:val="17365d"/>
                <w:sz w:val="18"/>
                <w:szCs w:val="18"/>
              </w:rPr>
            </w:pPr>
            <w:r w:rsidDel="00000000" w:rsidR="00000000" w:rsidRPr="00000000">
              <w:rPr>
                <w:rFonts w:ascii="Calibri" w:cs="Calibri" w:eastAsia="Calibri" w:hAnsi="Calibri"/>
                <w:b w:val="1"/>
                <w:bCs w:val="1"/>
                <w:color w:val="17365d"/>
                <w:sz w:val="18"/>
                <w:szCs w:val="18"/>
                <w:rtl w:val="0"/>
              </w:rPr>
              <w:t xml:space="preserve">Commercialization / Customer Discovery</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1">
            <w:pPr>
              <w:rPr>
                <w:rFonts w:ascii="Calibri" w:cs="Calibri" w:eastAsia="Calibri" w:hAnsi="Calibri"/>
                <w:sz w:val="18"/>
                <w:szCs w:val="18"/>
              </w:rPr>
            </w:pPr>
            <w:r w:rsidDel="00000000" w:rsidR="00000000" w:rsidRPr="00000000">
              <w:rPr>
                <w:rFonts w:ascii="Calibri" w:cs="Calibri" w:eastAsia="Calibri" w:hAnsi="Calibri"/>
                <w:i w:val="1"/>
                <w:iCs w:val="1"/>
                <w:color w:val="5e6b75"/>
                <w:sz w:val="18"/>
                <w:szCs w:val="18"/>
                <w:rtl w:val="0"/>
              </w:rPr>
              <w:t xml:space="preserve">Name, role, evidence]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Industry experience, customer relationships, prior commercialization, market validation, or business development experience</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Demonstrates the team's ability to validate customer need, adoption assumptions, and go-to-market strategy</w:t>
            </w:r>
          </w:p>
        </w:tc>
      </w:tr>
      <w:tr>
        <w:trPr>
          <w:cantSplit w:val="0"/>
          <w:trHeight w:val="264.96398925781244" w:hRule="atLeast"/>
          <w:tblHeader w:val="0"/>
        </w:trPr>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4">
            <w:pPr>
              <w:rPr>
                <w:rFonts w:ascii="Calibri" w:cs="Calibri" w:eastAsia="Calibri" w:hAnsi="Calibri"/>
                <w:b w:val="1"/>
                <w:bCs w:val="1"/>
                <w:color w:val="17365d"/>
                <w:sz w:val="18"/>
                <w:szCs w:val="18"/>
              </w:rPr>
            </w:pPr>
            <w:r w:rsidDel="00000000" w:rsidR="00000000" w:rsidRPr="00000000">
              <w:rPr>
                <w:rFonts w:ascii="Calibri" w:cs="Calibri" w:eastAsia="Calibri" w:hAnsi="Calibri"/>
                <w:b w:val="1"/>
                <w:bCs w:val="1"/>
                <w:color w:val="17365d"/>
                <w:sz w:val="18"/>
                <w:szCs w:val="18"/>
                <w:rtl w:val="0"/>
              </w:rPr>
              <w:t xml:space="preserve">Revenue / Business Model</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5">
            <w:pPr>
              <w:rPr>
                <w:rFonts w:ascii="Calibri" w:cs="Calibri" w:eastAsia="Calibri" w:hAnsi="Calibri"/>
                <w:sz w:val="18"/>
                <w:szCs w:val="18"/>
              </w:rPr>
            </w:pPr>
            <w:r w:rsidDel="00000000" w:rsidR="00000000" w:rsidRPr="00000000">
              <w:rPr>
                <w:rFonts w:ascii="Calibri" w:cs="Calibri" w:eastAsia="Calibri" w:hAnsi="Calibri"/>
                <w:i w:val="1"/>
                <w:iCs w:val="1"/>
                <w:color w:val="5e6b75"/>
                <w:sz w:val="18"/>
                <w:szCs w:val="18"/>
                <w:rtl w:val="0"/>
              </w:rPr>
              <w:t xml:space="preserve">Name, role, evidence]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Business model experience, pricing strategy, customer economics, prior sales, or comparable commercial experience</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Demonstrates a credible path for how the company will ultimately generate revenue from the technology</w:t>
            </w:r>
          </w:p>
        </w:tc>
      </w:tr>
      <w:tr>
        <w:trPr>
          <w:cantSplit w:val="0"/>
          <w:trHeight w:val="0" w:hRule="atLeast"/>
          <w:tblHeader w:val="0"/>
        </w:trPr>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8">
            <w:pPr>
              <w:rPr>
                <w:rFonts w:ascii="Calibri" w:cs="Calibri" w:eastAsia="Calibri" w:hAnsi="Calibri"/>
                <w:b w:val="1"/>
                <w:bCs w:val="1"/>
                <w:color w:val="17365d"/>
                <w:sz w:val="18"/>
                <w:szCs w:val="18"/>
              </w:rPr>
            </w:pPr>
            <w:r w:rsidDel="00000000" w:rsidR="00000000" w:rsidRPr="00000000">
              <w:rPr>
                <w:rFonts w:ascii="Calibri" w:cs="Calibri" w:eastAsia="Calibri" w:hAnsi="Calibri"/>
                <w:b w:val="1"/>
                <w:bCs w:val="1"/>
                <w:color w:val="17365d"/>
                <w:sz w:val="18"/>
                <w:szCs w:val="18"/>
                <w:rtl w:val="0"/>
              </w:rPr>
              <w:t xml:space="preserve">Growth / Scale-Up</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9">
            <w:pPr>
              <w:rPr>
                <w:rFonts w:ascii="Calibri" w:cs="Calibri" w:eastAsia="Calibri" w:hAnsi="Calibri"/>
                <w:sz w:val="18"/>
                <w:szCs w:val="18"/>
              </w:rPr>
            </w:pPr>
            <w:r w:rsidDel="00000000" w:rsidR="00000000" w:rsidRPr="00000000">
              <w:rPr>
                <w:rFonts w:ascii="Calibri" w:cs="Calibri" w:eastAsia="Calibri" w:hAnsi="Calibri"/>
                <w:i w:val="1"/>
                <w:iCs w:val="1"/>
                <w:color w:val="5e6b75"/>
                <w:sz w:val="18"/>
                <w:szCs w:val="18"/>
                <w:rtl w:val="0"/>
              </w:rPr>
              <w:t xml:space="preserve">Name, role, evidence]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Manufacturing, deployment, regulatory, supply-chain, scaling, licensing, or growth experience</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Demonstrates how successful Phase I/II R&amp;D could progress toward a scalable commercial opportunity</w:t>
            </w:r>
          </w:p>
        </w:tc>
      </w:tr>
      <w:tr>
        <w:trPr>
          <w:cantSplit w:val="0"/>
          <w:tblHeader w:val="0"/>
        </w:trPr>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C">
            <w:pPr>
              <w:rPr>
                <w:rFonts w:ascii="Calibri" w:cs="Calibri" w:eastAsia="Calibri" w:hAnsi="Calibri"/>
                <w:b w:val="1"/>
                <w:bCs w:val="1"/>
                <w:color w:val="17365d"/>
                <w:sz w:val="18"/>
                <w:szCs w:val="18"/>
              </w:rPr>
            </w:pPr>
            <w:r w:rsidDel="00000000" w:rsidR="00000000" w:rsidRPr="00000000">
              <w:rPr>
                <w:rFonts w:ascii="Calibri" w:cs="Calibri" w:eastAsia="Calibri" w:hAnsi="Calibri"/>
                <w:b w:val="1"/>
                <w:bCs w:val="1"/>
                <w:color w:val="17365d"/>
                <w:sz w:val="18"/>
                <w:szCs w:val="18"/>
                <w:rtl w:val="0"/>
              </w:rPr>
              <w:t xml:space="preserve">Follow-on Funding / Capital Strategy</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D">
            <w:pPr>
              <w:rPr>
                <w:rFonts w:ascii="Calibri" w:cs="Calibri" w:eastAsia="Calibri" w:hAnsi="Calibri"/>
                <w:sz w:val="18"/>
                <w:szCs w:val="18"/>
              </w:rPr>
            </w:pPr>
            <w:r w:rsidDel="00000000" w:rsidR="00000000" w:rsidRPr="00000000">
              <w:rPr>
                <w:rFonts w:ascii="Calibri" w:cs="Calibri" w:eastAsia="Calibri" w:hAnsi="Calibri"/>
                <w:i w:val="1"/>
                <w:iCs w:val="1"/>
                <w:color w:val="5e6b75"/>
                <w:sz w:val="18"/>
                <w:szCs w:val="18"/>
                <w:rtl w:val="0"/>
              </w:rPr>
              <w:t xml:space="preserve">Name, role, evidence]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Investor relationships, prior fundraising, strategic partners, non-dilutive funding experience, or capital planning</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D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Demonstrates awareness of the resources required to advance beyond DOE Phase I/II support</w:t>
            </w:r>
          </w:p>
        </w:tc>
      </w:tr>
      <w:tr>
        <w:trPr>
          <w:cantSplit w:val="0"/>
          <w:tblHeader w:val="0"/>
        </w:trPr>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E0">
            <w:pPr>
              <w:rPr>
                <w:rFonts w:ascii="Calibri" w:cs="Calibri" w:eastAsia="Calibri" w:hAnsi="Calibri"/>
                <w:b w:val="1"/>
                <w:bCs w:val="1"/>
                <w:color w:val="17365d"/>
                <w:sz w:val="18"/>
                <w:szCs w:val="18"/>
              </w:rPr>
            </w:pPr>
            <w:r w:rsidDel="00000000" w:rsidR="00000000" w:rsidRPr="00000000">
              <w:rPr>
                <w:rFonts w:ascii="Calibri" w:cs="Calibri" w:eastAsia="Calibri" w:hAnsi="Calibri"/>
                <w:b w:val="1"/>
                <w:bCs w:val="1"/>
                <w:color w:val="17365d"/>
                <w:sz w:val="18"/>
                <w:szCs w:val="18"/>
                <w:rtl w:val="0"/>
              </w:rPr>
              <w:t xml:space="preserve">Effective Use of DOE Award</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E1">
            <w:pPr>
              <w:rPr>
                <w:rFonts w:ascii="Calibri" w:cs="Calibri" w:eastAsia="Calibri" w:hAnsi="Calibri"/>
                <w:sz w:val="18"/>
                <w:szCs w:val="18"/>
              </w:rPr>
            </w:pPr>
            <w:r w:rsidDel="00000000" w:rsidR="00000000" w:rsidRPr="00000000">
              <w:rPr>
                <w:rFonts w:ascii="Calibri" w:cs="Calibri" w:eastAsia="Calibri" w:hAnsi="Calibri"/>
                <w:i w:val="1"/>
                <w:iCs w:val="1"/>
                <w:color w:val="5e6b75"/>
                <w:sz w:val="18"/>
                <w:szCs w:val="18"/>
                <w:rtl w:val="0"/>
              </w:rPr>
              <w:t xml:space="preserve">Name, role, evidence]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E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Clear connection between DOE-funded activities, technical milestones, and the project's current resource constraints</w:t>
            </w:r>
          </w:p>
        </w:tc>
        <w:tc>
          <w:tcPr>
            <w:tcBorders>
              <w:top w:color="000000" w:space="0" w:sz="0" w:val="nil"/>
              <w:left w:color="000000" w:space="0" w:sz="0" w:val="nil"/>
              <w:bottom w:color="000000" w:space="0" w:sz="0" w:val="nil"/>
              <w:right w:color="000000" w:space="0" w:sz="0" w:val="nil"/>
            </w:tcBorders>
            <w:tcMar>
              <w:top w:w="43.2" w:type="dxa"/>
              <w:left w:w="43.2" w:type="dxa"/>
              <w:bottom w:w="43.2" w:type="dxa"/>
              <w:right w:w="43.2" w:type="dxa"/>
            </w:tcMar>
            <w:vAlign w:val="center"/>
          </w:tcPr>
          <w:p w:rsidR="00000000" w:rsidDel="00000000" w:rsidP="00000000" w:rsidRDefault="00000000" w:rsidRPr="00000000" w14:paraId="000000E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Demonstrates that DOE funding will meaningfully accelerate technical de-risking and move the project toward commercialization</w:t>
            </w:r>
          </w:p>
        </w:tc>
      </w:tr>
    </w:tbl>
    <w:p w:rsidR="00000000" w:rsidDel="00000000" w:rsidP="00000000" w:rsidRDefault="00000000" w:rsidRPr="00000000" w14:paraId="000000E4">
      <w:pPr>
        <w:pStyle w:val="Heading2"/>
        <w:rPr/>
      </w:pPr>
      <w:r w:rsidDel="00000000" w:rsidR="00000000" w:rsidRPr="00000000">
        <w:rPr>
          <w:rtl w:val="0"/>
        </w:rPr>
      </w:r>
    </w:p>
    <w:p w:rsidR="00000000" w:rsidDel="00000000" w:rsidP="00000000" w:rsidRDefault="00000000" w:rsidRPr="00000000" w14:paraId="000000E5">
      <w:pPr>
        <w:pStyle w:val="Heading2"/>
        <w:rPr/>
      </w:pPr>
      <w:r w:rsidDel="00000000" w:rsidR="00000000" w:rsidRPr="00000000">
        <w:rPr>
          <w:rtl w:val="0"/>
        </w:rPr>
        <w:t xml:space="preserve">Drafting formula</w:t>
      </w:r>
    </w:p>
    <w:tbl>
      <w:tblPr>
        <w:tblStyle w:val="Table19"/>
        <w:tblW w:w="9360.0" w:type="dxa"/>
        <w:jc w:val="left"/>
        <w:tblLayout w:type="fixed"/>
        <w:tblLook w:val="0400"/>
      </w:tblPr>
      <w:tblGrid>
        <w:gridCol w:w="9360"/>
        <w:tblGridChange w:id="0">
          <w:tblGrid>
            <w:gridCol w:w="9360"/>
          </w:tblGrid>
        </w:tblGridChange>
      </w:tblGrid>
      <w:tr>
        <w:trPr>
          <w:cantSplit w:val="0"/>
          <w:tblHeader w:val="0"/>
        </w:trPr>
        <w:tc>
          <w:tcPr>
            <w:shd w:fill="f5f7f9" w:val="clear"/>
            <w:tcMar>
              <w:top w:w="110.0" w:type="dxa"/>
              <w:left w:w="120.0" w:type="dxa"/>
              <w:bottom w:w="110.0" w:type="dxa"/>
              <w:right w:w="120.0" w:type="dxa"/>
            </w:tcMar>
            <w:vAlign w:val="center"/>
          </w:tcPr>
          <w:p w:rsidR="00000000" w:rsidDel="00000000" w:rsidP="00000000" w:rsidRDefault="00000000" w:rsidRPr="00000000" w14:paraId="000000E6">
            <w:pPr>
              <w:spacing w:after="0" w:lineRule="auto"/>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CONNECT CREDENTIALS TO EXECUTION: </w:t>
            </w:r>
            <w:r w:rsidDel="00000000" w:rsidR="00000000" w:rsidRPr="00000000">
              <w:rPr>
                <w:rFonts w:ascii="Calibri" w:cs="Calibri" w:eastAsia="Calibri" w:hAnsi="Calibri"/>
                <w:sz w:val="21"/>
                <w:szCs w:val="21"/>
                <w:rtl w:val="0"/>
              </w:rPr>
              <w:t xml:space="preserve">[Company] has [relevant achievement, asset, IP, data, customer access, or prior result]. [PI] will lead [critical work], supported by [person/partner] for [specific task]. [Facilities/resources] enable [test]. The team has validated [commercial evidence] and will pursue [credible Phase II/private/customer funding path]. The remaining gap is [gap], with [named recruitment/partner action] underway.</w:t>
            </w:r>
            <w:r w:rsidDel="00000000" w:rsidR="00000000" w:rsidRPr="00000000">
              <w:rPr>
                <w:rtl w:val="0"/>
              </w:rPr>
            </w:r>
          </w:p>
        </w:tc>
      </w:tr>
    </w:tbl>
    <w:p w:rsidR="00000000" w:rsidDel="00000000" w:rsidP="00000000" w:rsidRDefault="00000000" w:rsidRPr="00000000" w14:paraId="000000E7">
      <w:pPr>
        <w:pStyle w:val="Heading2"/>
        <w:rPr/>
      </w:pPr>
      <w:r w:rsidDel="00000000" w:rsidR="00000000" w:rsidRPr="00000000">
        <w:rPr>
          <w:rtl w:val="0"/>
        </w:rPr>
        <w:t xml:space="preserve">Draft</w:t>
      </w:r>
    </w:p>
    <w:tbl>
      <w:tblPr>
        <w:tblStyle w:val="Table20"/>
        <w:tblW w:w="9360.0" w:type="dxa"/>
        <w:jc w:val="left"/>
        <w:tblInd w:w="-50.0" w:type="dxa"/>
        <w:tblLayout w:type="fixed"/>
        <w:tblLook w:val="0400"/>
      </w:tblPr>
      <w:tblGrid>
        <w:gridCol w:w="9360"/>
        <w:tblGridChange w:id="0">
          <w:tblGrid>
            <w:gridCol w:w="9360"/>
          </w:tblGrid>
        </w:tblGridChange>
      </w:tblGrid>
      <w:tr>
        <w:trPr>
          <w:cantSplit w:val="0"/>
          <w:tblHeader w:val="0"/>
        </w:trPr>
        <w:tc>
          <w:tcPr>
            <w:shd w:fill="fafbfc" w:val="clear"/>
            <w:tcMar>
              <w:top w:w="160.0" w:type="dxa"/>
              <w:left w:w="170.0" w:type="dxa"/>
              <w:bottom w:w="160.0" w:type="dxa"/>
              <w:right w:w="170.0" w:type="dxa"/>
            </w:tcMar>
          </w:tcPr>
          <w:p w:rsidR="00000000" w:rsidDel="00000000" w:rsidP="00000000" w:rsidRDefault="00000000" w:rsidRPr="00000000" w14:paraId="000000E8">
            <w:pPr>
              <w:rPr>
                <w:rFonts w:ascii="Calibri" w:cs="Calibri" w:eastAsia="Calibri" w:hAnsi="Calibri"/>
              </w:rPr>
            </w:pPr>
            <w:r w:rsidDel="00000000" w:rsidR="00000000" w:rsidRPr="00000000">
              <w:rPr>
                <w:rFonts w:ascii="Calibri" w:cs="Calibri" w:eastAsia="Calibri" w:hAnsi="Calibri"/>
                <w:i w:val="1"/>
                <w:iCs w:val="1"/>
                <w:color w:val="5e6b75"/>
                <w:sz w:val="21"/>
                <w:szCs w:val="21"/>
                <w:rtl w:val="0"/>
              </w:rPr>
              <w:t xml:space="preserve">[Draft here. Replace this text with your response. The box expands as you type.]</w:t>
            </w:r>
            <w:r w:rsidDel="00000000" w:rsidR="00000000" w:rsidRPr="00000000">
              <w:rPr>
                <w:rtl w:val="0"/>
              </w:rPr>
            </w:r>
          </w:p>
          <w:p w:rsidR="00000000" w:rsidDel="00000000" w:rsidP="00000000" w:rsidRDefault="00000000" w:rsidRPr="00000000" w14:paraId="000000E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EB">
      <w:pPr>
        <w:pStyle w:val="Heading2"/>
        <w:rPr/>
      </w:pPr>
      <w:r w:rsidDel="00000000" w:rsidR="00000000" w:rsidRPr="00000000">
        <w:rPr>
          <w:rtl w:val="0"/>
        </w:rPr>
        <w:t xml:space="preserve">Self-check</w:t>
      </w:r>
    </w:p>
    <w:p w:rsidR="00000000" w:rsidDel="00000000" w:rsidP="00000000" w:rsidRDefault="00000000" w:rsidRPr="00000000" w14:paraId="000000EC">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Every named credential proves the ability to perform a specific project task.</w:t>
      </w:r>
      <w:r w:rsidDel="00000000" w:rsidR="00000000" w:rsidRPr="00000000">
        <w:rPr>
          <w:rtl w:val="0"/>
        </w:rPr>
      </w:r>
    </w:p>
    <w:p w:rsidR="00000000" w:rsidDel="00000000" w:rsidP="00000000" w:rsidRDefault="00000000" w:rsidRPr="00000000" w14:paraId="000000ED">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Partnership status is described truthfully; discussions are not presented as commitments.</w:t>
      </w:r>
      <w:r w:rsidDel="00000000" w:rsidR="00000000" w:rsidRPr="00000000">
        <w:rPr>
          <w:rtl w:val="0"/>
        </w:rPr>
      </w:r>
    </w:p>
    <w:p w:rsidR="00000000" w:rsidDel="00000000" w:rsidP="00000000" w:rsidRDefault="00000000" w:rsidRPr="00000000" w14:paraId="000000EE">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The team addresses commercialization and follow-on capital, not only technical expertise.</w:t>
      </w:r>
      <w:r w:rsidDel="00000000" w:rsidR="00000000" w:rsidRPr="00000000">
        <w:rPr>
          <w:rtl w:val="0"/>
        </w:rPr>
      </w:r>
    </w:p>
    <w:p w:rsidR="00000000" w:rsidDel="00000000" w:rsidP="00000000" w:rsidRDefault="00000000" w:rsidRPr="00000000" w14:paraId="000000EF">
      <w:pPr>
        <w:pageBreakBefore w:val="1"/>
        <w:rPr>
          <w:rFonts w:ascii="Calibri" w:cs="Calibri" w:eastAsia="Calibri" w:hAnsi="Calibri"/>
        </w:rPr>
      </w:pPr>
      <w:r w:rsidDel="00000000" w:rsidR="00000000" w:rsidRPr="00000000">
        <w:rPr>
          <w:rtl w:val="0"/>
        </w:rPr>
      </w:r>
    </w:p>
    <w:p w:rsidR="00000000" w:rsidDel="00000000" w:rsidP="00000000" w:rsidRDefault="00000000" w:rsidRPr="00000000" w14:paraId="000000F0">
      <w:pPr>
        <w:pStyle w:val="Heading1"/>
        <w:rPr/>
      </w:pPr>
      <w:r w:rsidDel="00000000" w:rsidR="00000000" w:rsidRPr="00000000">
        <w:rPr>
          <w:rtl w:val="0"/>
        </w:rPr>
        <w:t xml:space="preserve">7. Optional Bibliography + Evidence Register</w:t>
      </w:r>
    </w:p>
    <w:p w:rsidR="00000000" w:rsidDel="00000000" w:rsidP="00000000" w:rsidRDefault="00000000" w:rsidRPr="00000000" w14:paraId="000000F1">
      <w:pPr>
        <w:rPr>
          <w:rFonts w:ascii="Calibri" w:cs="Calibri" w:eastAsia="Calibri" w:hAnsi="Calibri"/>
        </w:rPr>
      </w:pPr>
      <w:r w:rsidDel="00000000" w:rsidR="00000000" w:rsidRPr="00000000">
        <w:rPr>
          <w:rFonts w:ascii="Calibri" w:cs="Calibri" w:eastAsia="Calibri" w:hAnsi="Calibri"/>
          <w:rtl w:val="0"/>
        </w:rPr>
        <w:t xml:space="preserve">Use the bibliography only if the live opportunity permits it. Cite selectively: sources should validate the problem, baseline, novelty, performance targets, or market/adoption claim. Do not use citations as a substitute for explanation.</w:t>
      </w:r>
    </w:p>
    <w:tbl>
      <w:tblPr>
        <w:tblStyle w:val="Table21"/>
        <w:tblW w:w="9360.0" w:type="dxa"/>
        <w:jc w:val="left"/>
        <w:tblLayout w:type="fixed"/>
        <w:tblLook w:val="0400"/>
      </w:tblPr>
      <w:tblGrid>
        <w:gridCol w:w="700"/>
        <w:gridCol w:w="2800"/>
        <w:gridCol w:w="3300"/>
        <w:gridCol w:w="2560"/>
        <w:tblGridChange w:id="0">
          <w:tblGrid>
            <w:gridCol w:w="700"/>
            <w:gridCol w:w="2800"/>
            <w:gridCol w:w="3300"/>
            <w:gridCol w:w="2560"/>
          </w:tblGrid>
        </w:tblGridChange>
      </w:tblGrid>
      <w:tr>
        <w:trPr>
          <w:cantSplit w:val="0"/>
          <w:tblHeader w:val="1"/>
        </w:trPr>
        <w:tc>
          <w:tcPr>
            <w:shd w:fill="17365d" w:val="clear"/>
            <w:tcMar>
              <w:top w:w="110.0" w:type="dxa"/>
              <w:left w:w="120.0" w:type="dxa"/>
              <w:bottom w:w="110.0" w:type="dxa"/>
              <w:right w:w="120.0" w:type="dxa"/>
            </w:tcMar>
          </w:tcPr>
          <w:p w:rsidR="00000000" w:rsidDel="00000000" w:rsidP="00000000" w:rsidRDefault="00000000" w:rsidRPr="00000000" w14:paraId="000000F2">
            <w:pPr>
              <w:rPr>
                <w:rFonts w:ascii="Calibri" w:cs="Calibri" w:eastAsia="Calibri" w:hAnsi="Calibri"/>
              </w:rPr>
            </w:pPr>
            <w:r w:rsidDel="00000000" w:rsidR="00000000" w:rsidRPr="00000000">
              <w:rPr>
                <w:rFonts w:ascii="Calibri" w:cs="Calibri" w:eastAsia="Calibri" w:hAnsi="Calibri"/>
                <w:b w:val="1"/>
                <w:bCs w:val="1"/>
                <w:color w:val="ffffff"/>
                <w:sz w:val="19"/>
                <w:szCs w:val="19"/>
                <w:rtl w:val="0"/>
              </w:rPr>
              <w:t xml:space="preserve">#</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0F3">
            <w:pPr>
              <w:rPr>
                <w:rFonts w:ascii="Calibri" w:cs="Calibri" w:eastAsia="Calibri" w:hAnsi="Calibri"/>
              </w:rPr>
            </w:pPr>
            <w:r w:rsidDel="00000000" w:rsidR="00000000" w:rsidRPr="00000000">
              <w:rPr>
                <w:rFonts w:ascii="Calibri" w:cs="Calibri" w:eastAsia="Calibri" w:hAnsi="Calibri"/>
                <w:b w:val="1"/>
                <w:bCs w:val="1"/>
                <w:color w:val="ffffff"/>
                <w:sz w:val="19"/>
                <w:szCs w:val="19"/>
                <w:rtl w:val="0"/>
              </w:rPr>
              <w:t xml:space="preserve">Claim supported</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0F4">
            <w:pPr>
              <w:rPr>
                <w:rFonts w:ascii="Calibri" w:cs="Calibri" w:eastAsia="Calibri" w:hAnsi="Calibri"/>
              </w:rPr>
            </w:pPr>
            <w:r w:rsidDel="00000000" w:rsidR="00000000" w:rsidRPr="00000000">
              <w:rPr>
                <w:rFonts w:ascii="Calibri" w:cs="Calibri" w:eastAsia="Calibri" w:hAnsi="Calibri"/>
                <w:b w:val="1"/>
                <w:bCs w:val="1"/>
                <w:color w:val="ffffff"/>
                <w:sz w:val="19"/>
                <w:szCs w:val="19"/>
                <w:rtl w:val="0"/>
              </w:rPr>
              <w:t xml:space="preserve">Source / DOI / patent / URL</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0F5">
            <w:pPr>
              <w:rPr>
                <w:rFonts w:ascii="Calibri" w:cs="Calibri" w:eastAsia="Calibri" w:hAnsi="Calibri"/>
              </w:rPr>
            </w:pPr>
            <w:r w:rsidDel="00000000" w:rsidR="00000000" w:rsidRPr="00000000">
              <w:rPr>
                <w:rFonts w:ascii="Calibri" w:cs="Calibri" w:eastAsia="Calibri" w:hAnsi="Calibri"/>
                <w:b w:val="1"/>
                <w:bCs w:val="1"/>
                <w:color w:val="ffffff"/>
                <w:sz w:val="19"/>
                <w:szCs w:val="19"/>
                <w:rtl w:val="0"/>
              </w:rPr>
              <w:t xml:space="preserve">Where cited</w:t>
            </w:r>
            <w:r w:rsidDel="00000000" w:rsidR="00000000" w:rsidRPr="00000000">
              <w:rPr>
                <w:rtl w:val="0"/>
              </w:rPr>
            </w:r>
          </w:p>
        </w:tc>
      </w:tr>
      <w:tr>
        <w:trPr>
          <w:cantSplit w:val="0"/>
          <w:tblHeader w:val="0"/>
        </w:trPr>
        <w:tc>
          <w:tcPr/>
          <w:p w:rsidR="00000000" w:rsidDel="00000000" w:rsidP="00000000" w:rsidRDefault="00000000" w:rsidRPr="00000000" w14:paraId="000000F6">
            <w:pPr>
              <w:rPr>
                <w:rFonts w:ascii="Calibri" w:cs="Calibri" w:eastAsia="Calibri" w:hAnsi="Calibri"/>
              </w:rPr>
            </w:pPr>
            <w:r w:rsidDel="00000000" w:rsidR="00000000" w:rsidRPr="00000000">
              <w:rPr>
                <w:rFonts w:ascii="Calibri" w:cs="Calibri" w:eastAsia="Calibri" w:hAnsi="Calibri"/>
                <w:b w:val="1"/>
                <w:bCs w:val="1"/>
                <w:color w:val="17365d"/>
                <w:sz w:val="18"/>
                <w:szCs w:val="18"/>
                <w:rtl w:val="0"/>
              </w:rPr>
              <w:t xml:space="preserve">1</w:t>
            </w:r>
            <w:r w:rsidDel="00000000" w:rsidR="00000000" w:rsidRPr="00000000">
              <w:rPr>
                <w:rtl w:val="0"/>
              </w:rPr>
            </w:r>
          </w:p>
        </w:tc>
        <w:tc>
          <w:tcPr/>
          <w:p w:rsidR="00000000" w:rsidDel="00000000" w:rsidP="00000000" w:rsidRDefault="00000000" w:rsidRPr="00000000" w14:paraId="000000F7">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[Claim]</w:t>
            </w:r>
            <w:r w:rsidDel="00000000" w:rsidR="00000000" w:rsidRPr="00000000">
              <w:rPr>
                <w:rtl w:val="0"/>
              </w:rPr>
            </w:r>
          </w:p>
        </w:tc>
        <w:tc>
          <w:tcPr/>
          <w:p w:rsidR="00000000" w:rsidDel="00000000" w:rsidP="00000000" w:rsidRDefault="00000000" w:rsidRPr="00000000" w14:paraId="000000F8">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[APA-style citation or record]</w:t>
            </w:r>
            <w:r w:rsidDel="00000000" w:rsidR="00000000" w:rsidRPr="00000000">
              <w:rPr>
                <w:rtl w:val="0"/>
              </w:rPr>
            </w:r>
          </w:p>
        </w:tc>
        <w:tc>
          <w:tcPr/>
          <w:p w:rsidR="00000000" w:rsidDel="00000000" w:rsidP="00000000" w:rsidRDefault="00000000" w:rsidRPr="00000000" w14:paraId="000000F9">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[Pitch section]</w:t>
            </w:r>
            <w:r w:rsidDel="00000000" w:rsidR="00000000" w:rsidRPr="00000000">
              <w:rPr>
                <w:rtl w:val="0"/>
              </w:rPr>
            </w:r>
          </w:p>
        </w:tc>
      </w:tr>
      <w:tr>
        <w:trPr>
          <w:cantSplit w:val="0"/>
          <w:tblHeader w:val="0"/>
        </w:trPr>
        <w:tc>
          <w:tcPr/>
          <w:p w:rsidR="00000000" w:rsidDel="00000000" w:rsidP="00000000" w:rsidRDefault="00000000" w:rsidRPr="00000000" w14:paraId="000000FA">
            <w:pPr>
              <w:rPr>
                <w:rFonts w:ascii="Calibri" w:cs="Calibri" w:eastAsia="Calibri" w:hAnsi="Calibri"/>
              </w:rPr>
            </w:pPr>
            <w:r w:rsidDel="00000000" w:rsidR="00000000" w:rsidRPr="00000000">
              <w:rPr>
                <w:rFonts w:ascii="Calibri" w:cs="Calibri" w:eastAsia="Calibri" w:hAnsi="Calibri"/>
                <w:b w:val="1"/>
                <w:bCs w:val="1"/>
                <w:color w:val="17365d"/>
                <w:sz w:val="18"/>
                <w:szCs w:val="18"/>
                <w:rtl w:val="0"/>
              </w:rPr>
              <w:t xml:space="preserve">2</w:t>
            </w:r>
            <w:r w:rsidDel="00000000" w:rsidR="00000000" w:rsidRPr="00000000">
              <w:rPr>
                <w:rtl w:val="0"/>
              </w:rPr>
            </w:r>
          </w:p>
        </w:tc>
        <w:tc>
          <w:tcPr/>
          <w:p w:rsidR="00000000" w:rsidDel="00000000" w:rsidP="00000000" w:rsidRDefault="00000000" w:rsidRPr="00000000" w14:paraId="000000FB">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[Claim]</w:t>
            </w:r>
            <w:r w:rsidDel="00000000" w:rsidR="00000000" w:rsidRPr="00000000">
              <w:rPr>
                <w:rtl w:val="0"/>
              </w:rPr>
            </w:r>
          </w:p>
        </w:tc>
        <w:tc>
          <w:tcPr/>
          <w:p w:rsidR="00000000" w:rsidDel="00000000" w:rsidP="00000000" w:rsidRDefault="00000000" w:rsidRPr="00000000" w14:paraId="000000FC">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[APA-style citation or record]</w:t>
            </w:r>
            <w:r w:rsidDel="00000000" w:rsidR="00000000" w:rsidRPr="00000000">
              <w:rPr>
                <w:rtl w:val="0"/>
              </w:rPr>
            </w:r>
          </w:p>
        </w:tc>
        <w:tc>
          <w:tcPr/>
          <w:p w:rsidR="00000000" w:rsidDel="00000000" w:rsidP="00000000" w:rsidRDefault="00000000" w:rsidRPr="00000000" w14:paraId="000000FD">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[Pitch section]</w:t>
            </w:r>
            <w:r w:rsidDel="00000000" w:rsidR="00000000" w:rsidRPr="00000000">
              <w:rPr>
                <w:rtl w:val="0"/>
              </w:rPr>
            </w:r>
          </w:p>
        </w:tc>
      </w:tr>
      <w:tr>
        <w:trPr>
          <w:cantSplit w:val="0"/>
          <w:tblHeader w:val="0"/>
        </w:trPr>
        <w:tc>
          <w:tcPr/>
          <w:p w:rsidR="00000000" w:rsidDel="00000000" w:rsidP="00000000" w:rsidRDefault="00000000" w:rsidRPr="00000000" w14:paraId="000000FE">
            <w:pPr>
              <w:rPr>
                <w:rFonts w:ascii="Calibri" w:cs="Calibri" w:eastAsia="Calibri" w:hAnsi="Calibri"/>
              </w:rPr>
            </w:pPr>
            <w:r w:rsidDel="00000000" w:rsidR="00000000" w:rsidRPr="00000000">
              <w:rPr>
                <w:rFonts w:ascii="Calibri" w:cs="Calibri" w:eastAsia="Calibri" w:hAnsi="Calibri"/>
                <w:b w:val="1"/>
                <w:bCs w:val="1"/>
                <w:color w:val="17365d"/>
                <w:sz w:val="18"/>
                <w:szCs w:val="18"/>
                <w:rtl w:val="0"/>
              </w:rPr>
              <w:t xml:space="preserve">3</w:t>
            </w:r>
            <w:r w:rsidDel="00000000" w:rsidR="00000000" w:rsidRPr="00000000">
              <w:rPr>
                <w:rtl w:val="0"/>
              </w:rPr>
            </w:r>
          </w:p>
        </w:tc>
        <w:tc>
          <w:tcPr/>
          <w:p w:rsidR="00000000" w:rsidDel="00000000" w:rsidP="00000000" w:rsidRDefault="00000000" w:rsidRPr="00000000" w14:paraId="000000FF">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[Claim]</w:t>
            </w:r>
            <w:r w:rsidDel="00000000" w:rsidR="00000000" w:rsidRPr="00000000">
              <w:rPr>
                <w:rtl w:val="0"/>
              </w:rPr>
            </w:r>
          </w:p>
        </w:tc>
        <w:tc>
          <w:tcPr/>
          <w:p w:rsidR="00000000" w:rsidDel="00000000" w:rsidP="00000000" w:rsidRDefault="00000000" w:rsidRPr="00000000" w14:paraId="00000100">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[APA-style citation or record]</w:t>
            </w:r>
            <w:r w:rsidDel="00000000" w:rsidR="00000000" w:rsidRPr="00000000">
              <w:rPr>
                <w:rtl w:val="0"/>
              </w:rPr>
            </w:r>
          </w:p>
        </w:tc>
        <w:tc>
          <w:tcPr/>
          <w:p w:rsidR="00000000" w:rsidDel="00000000" w:rsidP="00000000" w:rsidRDefault="00000000" w:rsidRPr="00000000" w14:paraId="00000101">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[Pitch section]</w:t>
            </w:r>
            <w:r w:rsidDel="00000000" w:rsidR="00000000" w:rsidRPr="00000000">
              <w:rPr>
                <w:rtl w:val="0"/>
              </w:rPr>
            </w:r>
          </w:p>
        </w:tc>
      </w:tr>
      <w:tr>
        <w:trPr>
          <w:cantSplit w:val="0"/>
          <w:tblHeader w:val="0"/>
        </w:trPr>
        <w:tc>
          <w:tcPr/>
          <w:p w:rsidR="00000000" w:rsidDel="00000000" w:rsidP="00000000" w:rsidRDefault="00000000" w:rsidRPr="00000000" w14:paraId="00000102">
            <w:pPr>
              <w:rPr>
                <w:rFonts w:ascii="Calibri" w:cs="Calibri" w:eastAsia="Calibri" w:hAnsi="Calibri"/>
              </w:rPr>
            </w:pPr>
            <w:r w:rsidDel="00000000" w:rsidR="00000000" w:rsidRPr="00000000">
              <w:rPr>
                <w:rFonts w:ascii="Calibri" w:cs="Calibri" w:eastAsia="Calibri" w:hAnsi="Calibri"/>
                <w:b w:val="1"/>
                <w:bCs w:val="1"/>
                <w:color w:val="17365d"/>
                <w:sz w:val="18"/>
                <w:szCs w:val="18"/>
                <w:rtl w:val="0"/>
              </w:rPr>
              <w:t xml:space="preserve">4</w:t>
            </w:r>
            <w:r w:rsidDel="00000000" w:rsidR="00000000" w:rsidRPr="00000000">
              <w:rPr>
                <w:rtl w:val="0"/>
              </w:rPr>
            </w:r>
          </w:p>
        </w:tc>
        <w:tc>
          <w:tcPr/>
          <w:p w:rsidR="00000000" w:rsidDel="00000000" w:rsidP="00000000" w:rsidRDefault="00000000" w:rsidRPr="00000000" w14:paraId="00000103">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[Claim]</w:t>
            </w:r>
            <w:r w:rsidDel="00000000" w:rsidR="00000000" w:rsidRPr="00000000">
              <w:rPr>
                <w:rtl w:val="0"/>
              </w:rPr>
            </w:r>
          </w:p>
        </w:tc>
        <w:tc>
          <w:tcPr/>
          <w:p w:rsidR="00000000" w:rsidDel="00000000" w:rsidP="00000000" w:rsidRDefault="00000000" w:rsidRPr="00000000" w14:paraId="00000104">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[APA-style citation or record]</w:t>
            </w:r>
            <w:r w:rsidDel="00000000" w:rsidR="00000000" w:rsidRPr="00000000">
              <w:rPr>
                <w:rtl w:val="0"/>
              </w:rPr>
            </w:r>
          </w:p>
        </w:tc>
        <w:tc>
          <w:tcPr/>
          <w:p w:rsidR="00000000" w:rsidDel="00000000" w:rsidP="00000000" w:rsidRDefault="00000000" w:rsidRPr="00000000" w14:paraId="00000105">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[Pitch section]</w:t>
            </w:r>
            <w:r w:rsidDel="00000000" w:rsidR="00000000" w:rsidRPr="00000000">
              <w:rPr>
                <w:rtl w:val="0"/>
              </w:rPr>
            </w:r>
          </w:p>
        </w:tc>
      </w:tr>
      <w:tr>
        <w:trPr>
          <w:cantSplit w:val="0"/>
          <w:tblHeader w:val="0"/>
        </w:trPr>
        <w:tc>
          <w:tcPr/>
          <w:p w:rsidR="00000000" w:rsidDel="00000000" w:rsidP="00000000" w:rsidRDefault="00000000" w:rsidRPr="00000000" w14:paraId="00000106">
            <w:pPr>
              <w:rPr>
                <w:rFonts w:ascii="Calibri" w:cs="Calibri" w:eastAsia="Calibri" w:hAnsi="Calibri"/>
              </w:rPr>
            </w:pPr>
            <w:r w:rsidDel="00000000" w:rsidR="00000000" w:rsidRPr="00000000">
              <w:rPr>
                <w:rFonts w:ascii="Calibri" w:cs="Calibri" w:eastAsia="Calibri" w:hAnsi="Calibri"/>
                <w:b w:val="1"/>
                <w:bCs w:val="1"/>
                <w:color w:val="17365d"/>
                <w:sz w:val="18"/>
                <w:szCs w:val="18"/>
                <w:rtl w:val="0"/>
              </w:rPr>
              <w:t xml:space="preserve">5</w:t>
            </w:r>
            <w:r w:rsidDel="00000000" w:rsidR="00000000" w:rsidRPr="00000000">
              <w:rPr>
                <w:rtl w:val="0"/>
              </w:rPr>
            </w:r>
          </w:p>
        </w:tc>
        <w:tc>
          <w:tcPr/>
          <w:p w:rsidR="00000000" w:rsidDel="00000000" w:rsidP="00000000" w:rsidRDefault="00000000" w:rsidRPr="00000000" w14:paraId="00000107">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[Claim]</w:t>
            </w:r>
            <w:r w:rsidDel="00000000" w:rsidR="00000000" w:rsidRPr="00000000">
              <w:rPr>
                <w:rtl w:val="0"/>
              </w:rPr>
            </w:r>
          </w:p>
        </w:tc>
        <w:tc>
          <w:tcPr/>
          <w:p w:rsidR="00000000" w:rsidDel="00000000" w:rsidP="00000000" w:rsidRDefault="00000000" w:rsidRPr="00000000" w14:paraId="00000108">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[APA-style citation or record]</w:t>
            </w:r>
            <w:r w:rsidDel="00000000" w:rsidR="00000000" w:rsidRPr="00000000">
              <w:rPr>
                <w:rtl w:val="0"/>
              </w:rPr>
            </w:r>
          </w:p>
        </w:tc>
        <w:tc>
          <w:tcPr/>
          <w:p w:rsidR="00000000" w:rsidDel="00000000" w:rsidP="00000000" w:rsidRDefault="00000000" w:rsidRPr="00000000" w14:paraId="00000109">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[Pitch section]</w:t>
            </w:r>
            <w:r w:rsidDel="00000000" w:rsidR="00000000" w:rsidRPr="00000000">
              <w:rPr>
                <w:rtl w:val="0"/>
              </w:rPr>
            </w:r>
          </w:p>
        </w:tc>
      </w:tr>
      <w:tr>
        <w:trPr>
          <w:cantSplit w:val="0"/>
          <w:tblHeader w:val="0"/>
        </w:trPr>
        <w:tc>
          <w:tcPr/>
          <w:p w:rsidR="00000000" w:rsidDel="00000000" w:rsidP="00000000" w:rsidRDefault="00000000" w:rsidRPr="00000000" w14:paraId="0000010A">
            <w:pPr>
              <w:rPr>
                <w:rFonts w:ascii="Calibri" w:cs="Calibri" w:eastAsia="Calibri" w:hAnsi="Calibri"/>
              </w:rPr>
            </w:pPr>
            <w:r w:rsidDel="00000000" w:rsidR="00000000" w:rsidRPr="00000000">
              <w:rPr>
                <w:rFonts w:ascii="Calibri" w:cs="Calibri" w:eastAsia="Calibri" w:hAnsi="Calibri"/>
                <w:b w:val="1"/>
                <w:bCs w:val="1"/>
                <w:color w:val="17365d"/>
                <w:sz w:val="18"/>
                <w:szCs w:val="18"/>
                <w:rtl w:val="0"/>
              </w:rPr>
              <w:t xml:space="preserve">6</w:t>
            </w:r>
            <w:r w:rsidDel="00000000" w:rsidR="00000000" w:rsidRPr="00000000">
              <w:rPr>
                <w:rtl w:val="0"/>
              </w:rPr>
            </w:r>
          </w:p>
        </w:tc>
        <w:tc>
          <w:tcPr/>
          <w:p w:rsidR="00000000" w:rsidDel="00000000" w:rsidP="00000000" w:rsidRDefault="00000000" w:rsidRPr="00000000" w14:paraId="0000010B">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[Claim]</w:t>
            </w:r>
            <w:r w:rsidDel="00000000" w:rsidR="00000000" w:rsidRPr="00000000">
              <w:rPr>
                <w:rtl w:val="0"/>
              </w:rPr>
            </w:r>
          </w:p>
        </w:tc>
        <w:tc>
          <w:tcPr/>
          <w:p w:rsidR="00000000" w:rsidDel="00000000" w:rsidP="00000000" w:rsidRDefault="00000000" w:rsidRPr="00000000" w14:paraId="0000010C">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[APA-style citation or record]</w:t>
            </w:r>
            <w:r w:rsidDel="00000000" w:rsidR="00000000" w:rsidRPr="00000000">
              <w:rPr>
                <w:rtl w:val="0"/>
              </w:rPr>
            </w:r>
          </w:p>
        </w:tc>
        <w:tc>
          <w:tcPr/>
          <w:p w:rsidR="00000000" w:rsidDel="00000000" w:rsidP="00000000" w:rsidRDefault="00000000" w:rsidRPr="00000000" w14:paraId="0000010D">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[Pitch section]</w:t>
            </w:r>
            <w:r w:rsidDel="00000000" w:rsidR="00000000" w:rsidRPr="00000000">
              <w:rPr>
                <w:rtl w:val="0"/>
              </w:rPr>
            </w:r>
          </w:p>
        </w:tc>
      </w:tr>
    </w:tbl>
    <w:p w:rsidR="00000000" w:rsidDel="00000000" w:rsidP="00000000" w:rsidRDefault="00000000" w:rsidRPr="00000000" w14:paraId="0000010E">
      <w:pPr>
        <w:pStyle w:val="Heading1"/>
        <w:rPr/>
      </w:pPr>
      <w:r w:rsidDel="00000000" w:rsidR="00000000" w:rsidRPr="00000000">
        <w:rPr>
          <w:rtl w:val="0"/>
        </w:rPr>
        <w:t xml:space="preserve">Ten Tips for a Competitive DOE Pitch</w:t>
      </w:r>
    </w:p>
    <w:p w:rsidR="00000000" w:rsidDel="00000000" w:rsidP="00000000" w:rsidRDefault="00000000" w:rsidRPr="00000000" w14:paraId="0000010F">
      <w:pPr>
        <w:rPr>
          <w:rFonts w:ascii="Calibri" w:cs="Calibri" w:eastAsia="Calibri" w:hAnsi="Calibri"/>
        </w:rPr>
      </w:pPr>
      <w:r w:rsidDel="00000000" w:rsidR="00000000" w:rsidRPr="00000000">
        <w:rPr>
          <w:rFonts w:ascii="Calibri" w:cs="Calibri" w:eastAsia="Calibri" w:hAnsi="Calibri"/>
          <w:b w:val="1"/>
          <w:bCs w:val="1"/>
          <w:color w:val="147d7e"/>
          <w:sz w:val="19"/>
          <w:szCs w:val="19"/>
          <w:rtl w:val="0"/>
        </w:rPr>
        <w:t xml:space="preserve">TIP 01: </w:t>
      </w:r>
      <w:r w:rsidDel="00000000" w:rsidR="00000000" w:rsidRPr="00000000">
        <w:rPr>
          <w:rFonts w:ascii="Calibri" w:cs="Calibri" w:eastAsia="Calibri" w:hAnsi="Calibri"/>
          <w:b w:val="1"/>
          <w:bCs w:val="1"/>
          <w:color w:val="17365d"/>
          <w:rtl w:val="0"/>
        </w:rPr>
        <w:t xml:space="preserve">Lead with topic fit. </w:t>
      </w:r>
      <w:r w:rsidDel="00000000" w:rsidR="00000000" w:rsidRPr="00000000">
        <w:rPr>
          <w:rFonts w:ascii="Calibri" w:cs="Calibri" w:eastAsia="Calibri" w:hAnsi="Calibri"/>
          <w:rtl w:val="0"/>
        </w:rPr>
        <w:t xml:space="preserve">Make the selected topic's specific problem and outcome unmistakable before discussing the broader market.</w:t>
      </w:r>
    </w:p>
    <w:p w:rsidR="00000000" w:rsidDel="00000000" w:rsidP="00000000" w:rsidRDefault="00000000" w:rsidRPr="00000000" w14:paraId="00000110">
      <w:pPr>
        <w:rPr>
          <w:rFonts w:ascii="Calibri" w:cs="Calibri" w:eastAsia="Calibri" w:hAnsi="Calibri"/>
        </w:rPr>
      </w:pPr>
      <w:r w:rsidDel="00000000" w:rsidR="00000000" w:rsidRPr="00000000">
        <w:rPr>
          <w:rFonts w:ascii="Calibri" w:cs="Calibri" w:eastAsia="Calibri" w:hAnsi="Calibri"/>
          <w:b w:val="1"/>
          <w:bCs w:val="1"/>
          <w:color w:val="147d7e"/>
          <w:sz w:val="19"/>
          <w:szCs w:val="19"/>
          <w:rtl w:val="0"/>
        </w:rPr>
        <w:t xml:space="preserve">TIP 02: </w:t>
      </w:r>
      <w:r w:rsidDel="00000000" w:rsidR="00000000" w:rsidRPr="00000000">
        <w:rPr>
          <w:rFonts w:ascii="Calibri" w:cs="Calibri" w:eastAsia="Calibri" w:hAnsi="Calibri"/>
          <w:b w:val="1"/>
          <w:bCs w:val="1"/>
          <w:color w:val="17365d"/>
          <w:rtl w:val="0"/>
        </w:rPr>
        <w:t xml:space="preserve">Name the technical leap. </w:t>
      </w:r>
      <w:r w:rsidDel="00000000" w:rsidR="00000000" w:rsidRPr="00000000">
        <w:rPr>
          <w:rFonts w:ascii="Calibri" w:cs="Calibri" w:eastAsia="Calibri" w:hAnsi="Calibri"/>
          <w:rtl w:val="0"/>
        </w:rPr>
        <w:t xml:space="preserve">State the new mechanism, architecture, material, method, or capability, and compare it with the closest credible alternative.</w:t>
      </w:r>
    </w:p>
    <w:p w:rsidR="00000000" w:rsidDel="00000000" w:rsidP="00000000" w:rsidRDefault="00000000" w:rsidRPr="00000000" w14:paraId="00000111">
      <w:pPr>
        <w:rPr>
          <w:rFonts w:ascii="Calibri" w:cs="Calibri" w:eastAsia="Calibri" w:hAnsi="Calibri"/>
        </w:rPr>
      </w:pPr>
      <w:r w:rsidDel="00000000" w:rsidR="00000000" w:rsidRPr="00000000">
        <w:rPr>
          <w:rFonts w:ascii="Calibri" w:cs="Calibri" w:eastAsia="Calibri" w:hAnsi="Calibri"/>
          <w:b w:val="1"/>
          <w:bCs w:val="1"/>
          <w:color w:val="147d7e"/>
          <w:sz w:val="19"/>
          <w:szCs w:val="19"/>
          <w:rtl w:val="0"/>
        </w:rPr>
        <w:t xml:space="preserve">TIP 03: </w:t>
      </w:r>
      <w:r w:rsidDel="00000000" w:rsidR="00000000" w:rsidRPr="00000000">
        <w:rPr>
          <w:rFonts w:ascii="Calibri" w:cs="Calibri" w:eastAsia="Calibri" w:hAnsi="Calibri"/>
          <w:b w:val="1"/>
          <w:bCs w:val="1"/>
          <w:color w:val="17365d"/>
          <w:rtl w:val="0"/>
        </w:rPr>
        <w:t xml:space="preserve">Fund a decision, not a to-do list. </w:t>
      </w:r>
      <w:r w:rsidDel="00000000" w:rsidR="00000000" w:rsidRPr="00000000">
        <w:rPr>
          <w:rFonts w:ascii="Calibri" w:cs="Calibri" w:eastAsia="Calibri" w:hAnsi="Calibri"/>
          <w:rtl w:val="0"/>
        </w:rPr>
        <w:t xml:space="preserve">Frame Phase I around the decisive feasibility question and the evidence needed for a go/no-go conclusion.</w:t>
      </w:r>
    </w:p>
    <w:p w:rsidR="00000000" w:rsidDel="00000000" w:rsidP="00000000" w:rsidRDefault="00000000" w:rsidRPr="00000000" w14:paraId="00000112">
      <w:pPr>
        <w:rPr>
          <w:rFonts w:ascii="Calibri" w:cs="Calibri" w:eastAsia="Calibri" w:hAnsi="Calibri"/>
        </w:rPr>
      </w:pPr>
      <w:r w:rsidDel="00000000" w:rsidR="00000000" w:rsidRPr="00000000">
        <w:rPr>
          <w:rFonts w:ascii="Calibri" w:cs="Calibri" w:eastAsia="Calibri" w:hAnsi="Calibri"/>
          <w:b w:val="1"/>
          <w:bCs w:val="1"/>
          <w:color w:val="147d7e"/>
          <w:sz w:val="19"/>
          <w:szCs w:val="19"/>
          <w:rtl w:val="0"/>
        </w:rPr>
        <w:t xml:space="preserve">TIP 04: </w:t>
      </w:r>
      <w:r w:rsidDel="00000000" w:rsidR="00000000" w:rsidRPr="00000000">
        <w:rPr>
          <w:rFonts w:ascii="Calibri" w:cs="Calibri" w:eastAsia="Calibri" w:hAnsi="Calibri"/>
          <w:b w:val="1"/>
          <w:bCs w:val="1"/>
          <w:color w:val="17365d"/>
          <w:rtl w:val="0"/>
        </w:rPr>
        <w:t xml:space="preserve">Quantify success. </w:t>
      </w:r>
      <w:r w:rsidDel="00000000" w:rsidR="00000000" w:rsidRPr="00000000">
        <w:rPr>
          <w:rFonts w:ascii="Calibri" w:cs="Calibri" w:eastAsia="Calibri" w:hAnsi="Calibri"/>
          <w:rtl w:val="0"/>
        </w:rPr>
        <w:t xml:space="preserve">Use baseline, target, test condition, and measurement method whenever space permits.</w:t>
      </w:r>
    </w:p>
    <w:p w:rsidR="00000000" w:rsidDel="00000000" w:rsidP="00000000" w:rsidRDefault="00000000" w:rsidRPr="00000000" w14:paraId="00000113">
      <w:pPr>
        <w:rPr>
          <w:rFonts w:ascii="Calibri" w:cs="Calibri" w:eastAsia="Calibri" w:hAnsi="Calibri"/>
        </w:rPr>
      </w:pPr>
      <w:r w:rsidDel="00000000" w:rsidR="00000000" w:rsidRPr="00000000">
        <w:rPr>
          <w:rFonts w:ascii="Calibri" w:cs="Calibri" w:eastAsia="Calibri" w:hAnsi="Calibri"/>
          <w:b w:val="1"/>
          <w:bCs w:val="1"/>
          <w:color w:val="147d7e"/>
          <w:sz w:val="19"/>
          <w:szCs w:val="19"/>
          <w:rtl w:val="0"/>
        </w:rPr>
        <w:t xml:space="preserve">TIP 05: </w:t>
      </w:r>
      <w:r w:rsidDel="00000000" w:rsidR="00000000" w:rsidRPr="00000000">
        <w:rPr>
          <w:rFonts w:ascii="Calibri" w:cs="Calibri" w:eastAsia="Calibri" w:hAnsi="Calibri"/>
          <w:b w:val="1"/>
          <w:bCs w:val="1"/>
          <w:color w:val="17365d"/>
          <w:rtl w:val="0"/>
        </w:rPr>
        <w:t xml:space="preserve">Show risk honestly. </w:t>
      </w:r>
      <w:r w:rsidDel="00000000" w:rsidR="00000000" w:rsidRPr="00000000">
        <w:rPr>
          <w:rFonts w:ascii="Calibri" w:cs="Calibri" w:eastAsia="Calibri" w:hAnsi="Calibri"/>
          <w:rtl w:val="0"/>
        </w:rPr>
        <w:t xml:space="preserve">A credible high-risk R&amp;D pitch identifies the hard part and gives a thoughtful mitigation or alternative path.</w:t>
      </w:r>
    </w:p>
    <w:p w:rsidR="00000000" w:rsidDel="00000000" w:rsidP="00000000" w:rsidRDefault="00000000" w:rsidRPr="00000000" w14:paraId="00000114">
      <w:pPr>
        <w:rPr>
          <w:rFonts w:ascii="Calibri" w:cs="Calibri" w:eastAsia="Calibri" w:hAnsi="Calibri"/>
        </w:rPr>
      </w:pPr>
      <w:r w:rsidDel="00000000" w:rsidR="00000000" w:rsidRPr="00000000">
        <w:rPr>
          <w:rFonts w:ascii="Calibri" w:cs="Calibri" w:eastAsia="Calibri" w:hAnsi="Calibri"/>
          <w:b w:val="1"/>
          <w:bCs w:val="1"/>
          <w:color w:val="147d7e"/>
          <w:sz w:val="19"/>
          <w:szCs w:val="19"/>
          <w:rtl w:val="0"/>
        </w:rPr>
        <w:t xml:space="preserve">TIP 06: </w:t>
      </w:r>
      <w:r w:rsidDel="00000000" w:rsidR="00000000" w:rsidRPr="00000000">
        <w:rPr>
          <w:rFonts w:ascii="Calibri" w:cs="Calibri" w:eastAsia="Calibri" w:hAnsi="Calibri"/>
          <w:b w:val="1"/>
          <w:bCs w:val="1"/>
          <w:color w:val="17365d"/>
          <w:rtl w:val="0"/>
        </w:rPr>
        <w:t xml:space="preserve">Make AI specific. </w:t>
      </w:r>
      <w:r w:rsidDel="00000000" w:rsidR="00000000" w:rsidRPr="00000000">
        <w:rPr>
          <w:rFonts w:ascii="Calibri" w:cs="Calibri" w:eastAsia="Calibri" w:hAnsi="Calibri"/>
          <w:rtl w:val="0"/>
        </w:rPr>
        <w:t xml:space="preserve">For AI-related topics, name the data, model function, scientific workflow, validation method, and human/physical system interface; avoid generic 'AI-powered' claims.</w:t>
      </w:r>
    </w:p>
    <w:p w:rsidR="00000000" w:rsidDel="00000000" w:rsidP="00000000" w:rsidRDefault="00000000" w:rsidRPr="00000000" w14:paraId="00000115">
      <w:pPr>
        <w:rPr>
          <w:rFonts w:ascii="Calibri" w:cs="Calibri" w:eastAsia="Calibri" w:hAnsi="Calibri"/>
        </w:rPr>
      </w:pPr>
      <w:r w:rsidDel="00000000" w:rsidR="00000000" w:rsidRPr="00000000">
        <w:rPr>
          <w:rFonts w:ascii="Calibri" w:cs="Calibri" w:eastAsia="Calibri" w:hAnsi="Calibri"/>
          <w:b w:val="1"/>
          <w:bCs w:val="1"/>
          <w:color w:val="147d7e"/>
          <w:sz w:val="19"/>
          <w:szCs w:val="19"/>
          <w:rtl w:val="0"/>
        </w:rPr>
        <w:t xml:space="preserve">TIP 07: </w:t>
      </w:r>
      <w:r w:rsidDel="00000000" w:rsidR="00000000" w:rsidRPr="00000000">
        <w:rPr>
          <w:rFonts w:ascii="Calibri" w:cs="Calibri" w:eastAsia="Calibri" w:hAnsi="Calibri"/>
          <w:b w:val="1"/>
          <w:bCs w:val="1"/>
          <w:color w:val="17365d"/>
          <w:rtl w:val="0"/>
        </w:rPr>
        <w:t xml:space="preserve">Write buyer logic, not a giant TAM. </w:t>
      </w:r>
      <w:r w:rsidDel="00000000" w:rsidR="00000000" w:rsidRPr="00000000">
        <w:rPr>
          <w:rFonts w:ascii="Calibri" w:cs="Calibri" w:eastAsia="Calibri" w:hAnsi="Calibri"/>
          <w:rtl w:val="0"/>
        </w:rPr>
        <w:t xml:space="preserve">Name the user, buyer, pain, competing workaround, switching value, and route to purchase.</w:t>
      </w:r>
    </w:p>
    <w:p w:rsidR="00000000" w:rsidDel="00000000" w:rsidP="00000000" w:rsidRDefault="00000000" w:rsidRPr="00000000" w14:paraId="00000116">
      <w:pPr>
        <w:rPr>
          <w:rFonts w:ascii="Calibri" w:cs="Calibri" w:eastAsia="Calibri" w:hAnsi="Calibri"/>
        </w:rPr>
      </w:pPr>
      <w:r w:rsidDel="00000000" w:rsidR="00000000" w:rsidRPr="00000000">
        <w:rPr>
          <w:rFonts w:ascii="Calibri" w:cs="Calibri" w:eastAsia="Calibri" w:hAnsi="Calibri"/>
          <w:b w:val="1"/>
          <w:bCs w:val="1"/>
          <w:color w:val="147d7e"/>
          <w:sz w:val="19"/>
          <w:szCs w:val="19"/>
          <w:rtl w:val="0"/>
        </w:rPr>
        <w:t xml:space="preserve">TIP 08: </w:t>
      </w:r>
      <w:r w:rsidDel="00000000" w:rsidR="00000000" w:rsidRPr="00000000">
        <w:rPr>
          <w:rFonts w:ascii="Calibri" w:cs="Calibri" w:eastAsia="Calibri" w:hAnsi="Calibri"/>
          <w:b w:val="1"/>
          <w:bCs w:val="1"/>
          <w:color w:val="17365d"/>
          <w:rtl w:val="0"/>
        </w:rPr>
        <w:t xml:space="preserve">Prove the team by task. </w:t>
      </w:r>
      <w:r w:rsidDel="00000000" w:rsidR="00000000" w:rsidRPr="00000000">
        <w:rPr>
          <w:rFonts w:ascii="Calibri" w:cs="Calibri" w:eastAsia="Calibri" w:hAnsi="Calibri"/>
          <w:rtl w:val="0"/>
        </w:rPr>
        <w:t xml:space="preserve">Connect each person's or partner's evidence directly to the work they will perform and disclose gaps with a credible fill plan.</w:t>
      </w:r>
    </w:p>
    <w:p w:rsidR="00000000" w:rsidDel="00000000" w:rsidP="00000000" w:rsidRDefault="00000000" w:rsidRPr="00000000" w14:paraId="00000117">
      <w:pPr>
        <w:rPr>
          <w:rFonts w:ascii="Calibri" w:cs="Calibri" w:eastAsia="Calibri" w:hAnsi="Calibri"/>
        </w:rPr>
      </w:pPr>
      <w:r w:rsidDel="00000000" w:rsidR="00000000" w:rsidRPr="00000000">
        <w:rPr>
          <w:rFonts w:ascii="Calibri" w:cs="Calibri" w:eastAsia="Calibri" w:hAnsi="Calibri"/>
          <w:b w:val="1"/>
          <w:bCs w:val="1"/>
          <w:color w:val="147d7e"/>
          <w:sz w:val="19"/>
          <w:szCs w:val="19"/>
          <w:rtl w:val="0"/>
        </w:rPr>
        <w:t xml:space="preserve">TIP 09: </w:t>
      </w:r>
      <w:r w:rsidDel="00000000" w:rsidR="00000000" w:rsidRPr="00000000">
        <w:rPr>
          <w:rFonts w:ascii="Calibri" w:cs="Calibri" w:eastAsia="Calibri" w:hAnsi="Calibri"/>
          <w:b w:val="1"/>
          <w:bCs w:val="1"/>
          <w:color w:val="17365d"/>
          <w:rtl w:val="0"/>
        </w:rPr>
        <w:t xml:space="preserve">Protect continuity. </w:t>
      </w:r>
      <w:r w:rsidDel="00000000" w:rsidR="00000000" w:rsidRPr="00000000">
        <w:rPr>
          <w:rFonts w:ascii="Calibri" w:cs="Calibri" w:eastAsia="Calibri" w:hAnsi="Calibri"/>
          <w:rtl w:val="0"/>
        </w:rPr>
        <w:t xml:space="preserve">Because topic and prime are locked after pitch, resolve topic selection, applicant identity, IP access, and key partnership roles before submission.</w:t>
      </w:r>
    </w:p>
    <w:p w:rsidR="00000000" w:rsidDel="00000000" w:rsidP="00000000" w:rsidRDefault="00000000" w:rsidRPr="00000000" w14:paraId="00000118">
      <w:pPr>
        <w:rPr>
          <w:rFonts w:ascii="Calibri" w:cs="Calibri" w:eastAsia="Calibri" w:hAnsi="Calibri"/>
        </w:rPr>
      </w:pPr>
      <w:r w:rsidDel="00000000" w:rsidR="00000000" w:rsidRPr="00000000">
        <w:rPr>
          <w:rFonts w:ascii="Calibri" w:cs="Calibri" w:eastAsia="Calibri" w:hAnsi="Calibri"/>
          <w:b w:val="1"/>
          <w:bCs w:val="1"/>
          <w:color w:val="147d7e"/>
          <w:sz w:val="19"/>
          <w:szCs w:val="19"/>
          <w:rtl w:val="0"/>
        </w:rPr>
        <w:t xml:space="preserve">TIP 10: </w:t>
      </w:r>
      <w:r w:rsidDel="00000000" w:rsidR="00000000" w:rsidRPr="00000000">
        <w:rPr>
          <w:rFonts w:ascii="Calibri" w:cs="Calibri" w:eastAsia="Calibri" w:hAnsi="Calibri"/>
          <w:b w:val="1"/>
          <w:bCs w:val="1"/>
          <w:color w:val="17365d"/>
          <w:rtl w:val="0"/>
        </w:rPr>
        <w:t xml:space="preserve">Edit for reviewer retrieval. </w:t>
      </w:r>
      <w:r w:rsidDel="00000000" w:rsidR="00000000" w:rsidRPr="00000000">
        <w:rPr>
          <w:rFonts w:ascii="Calibri" w:cs="Calibri" w:eastAsia="Calibri" w:hAnsi="Calibri"/>
          <w:rtl w:val="0"/>
        </w:rPr>
        <w:t xml:space="preserve">Use one idea per sentence, concrete nouns, visible metrics, and repeated terminology from the topic; remove throat-clearing and unsupported superlatives.</w:t>
      </w:r>
    </w:p>
    <w:p w:rsidR="00000000" w:rsidDel="00000000" w:rsidP="00000000" w:rsidRDefault="00000000" w:rsidRPr="00000000" w14:paraId="00000119">
      <w:pPr>
        <w:pageBreakBefore w:val="1"/>
        <w:rPr>
          <w:rFonts w:ascii="Calibri" w:cs="Calibri" w:eastAsia="Calibri" w:hAnsi="Calibri"/>
        </w:rPr>
      </w:pPr>
      <w:r w:rsidDel="00000000" w:rsidR="00000000" w:rsidRPr="00000000">
        <w:rPr>
          <w:rtl w:val="0"/>
        </w:rPr>
      </w:r>
    </w:p>
    <w:p w:rsidR="00000000" w:rsidDel="00000000" w:rsidP="00000000" w:rsidRDefault="00000000" w:rsidRPr="00000000" w14:paraId="0000011A">
      <w:pPr>
        <w:pStyle w:val="Heading1"/>
        <w:rPr/>
      </w:pPr>
      <w:r w:rsidDel="00000000" w:rsidR="00000000" w:rsidRPr="00000000">
        <w:rPr>
          <w:rtl w:val="0"/>
        </w:rPr>
        <w:t xml:space="preserve">8. Final Red-Team Review</w:t>
      </w:r>
    </w:p>
    <w:tbl>
      <w:tblPr>
        <w:tblStyle w:val="Table22"/>
        <w:tblW w:w="9360.0" w:type="dxa"/>
        <w:jc w:val="left"/>
        <w:tblLayout w:type="fixed"/>
        <w:tblLook w:val="0400"/>
      </w:tblPr>
      <w:tblGrid>
        <w:gridCol w:w="9360"/>
        <w:tblGridChange w:id="0">
          <w:tblGrid>
            <w:gridCol w:w="9360"/>
          </w:tblGrid>
        </w:tblGridChange>
      </w:tblGrid>
      <w:tr>
        <w:trPr>
          <w:cantSplit w:val="0"/>
          <w:tblHeader w:val="0"/>
        </w:trPr>
        <w:tc>
          <w:tcPr>
            <w:shd w:fill="fce8e6" w:val="clear"/>
            <w:tcMar>
              <w:top w:w="110.0" w:type="dxa"/>
              <w:left w:w="120.0" w:type="dxa"/>
              <w:bottom w:w="110.0" w:type="dxa"/>
              <w:right w:w="120.0" w:type="dxa"/>
            </w:tcMar>
            <w:vAlign w:val="center"/>
          </w:tcPr>
          <w:p w:rsidR="00000000" w:rsidDel="00000000" w:rsidP="00000000" w:rsidRDefault="00000000" w:rsidRPr="00000000" w14:paraId="0000011B">
            <w:pPr>
              <w:spacing w:after="0" w:lineRule="auto"/>
              <w:rPr>
                <w:rFonts w:ascii="Calibri" w:cs="Calibri" w:eastAsia="Calibri" w:hAnsi="Calibri"/>
              </w:rPr>
            </w:pPr>
            <w:r w:rsidDel="00000000" w:rsidR="00000000" w:rsidRPr="00000000">
              <w:rPr>
                <w:rFonts w:ascii="Calibri" w:cs="Calibri" w:eastAsia="Calibri" w:hAnsi="Calibri"/>
                <w:b w:val="1"/>
                <w:bCs w:val="1"/>
                <w:color w:val="9b1c1c"/>
                <w:sz w:val="21"/>
                <w:szCs w:val="21"/>
                <w:rtl w:val="0"/>
              </w:rPr>
              <w:t xml:space="preserve">STOP RULE: </w:t>
            </w:r>
            <w:r w:rsidDel="00000000" w:rsidR="00000000" w:rsidRPr="00000000">
              <w:rPr>
                <w:rFonts w:ascii="Calibri" w:cs="Calibri" w:eastAsia="Calibri" w:hAnsi="Calibri"/>
                <w:sz w:val="21"/>
                <w:szCs w:val="21"/>
                <w:rtl w:val="0"/>
              </w:rPr>
              <w:t xml:space="preserve">Do not submit while any item marked REQUIRED is unresolved. A strong concept can be screened out before full review for an avoidable responsiveness or eligibility failure.</w:t>
            </w:r>
            <w:r w:rsidDel="00000000" w:rsidR="00000000" w:rsidRPr="00000000">
              <w:rPr>
                <w:rtl w:val="0"/>
              </w:rPr>
            </w:r>
          </w:p>
        </w:tc>
      </w:tr>
    </w:tbl>
    <w:p w:rsidR="00000000" w:rsidDel="00000000" w:rsidP="00000000" w:rsidRDefault="00000000" w:rsidRPr="00000000" w14:paraId="0000011C">
      <w:pPr>
        <w:pStyle w:val="Heading2"/>
        <w:rPr/>
      </w:pPr>
      <w:r w:rsidDel="00000000" w:rsidR="00000000" w:rsidRPr="00000000">
        <w:rPr>
          <w:rtl w:val="0"/>
        </w:rPr>
        <w:t xml:space="preserve">Required compliance</w:t>
      </w:r>
    </w:p>
    <w:p w:rsidR="00000000" w:rsidDel="00000000" w:rsidP="00000000" w:rsidRDefault="00000000" w:rsidRPr="00000000" w14:paraId="0000011D">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REQUIRED — The prime small business is eligible and accurately identified.</w:t>
      </w:r>
      <w:r w:rsidDel="00000000" w:rsidR="00000000" w:rsidRPr="00000000">
        <w:rPr>
          <w:rtl w:val="0"/>
        </w:rPr>
      </w:r>
    </w:p>
    <w:p w:rsidR="00000000" w:rsidDel="00000000" w:rsidP="00000000" w:rsidRDefault="00000000" w:rsidRPr="00000000" w14:paraId="0000011E">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REQUIRED — The selected topic/subtopic is correct, and every response is responsive to it.</w:t>
      </w:r>
      <w:r w:rsidDel="00000000" w:rsidR="00000000" w:rsidRPr="00000000">
        <w:rPr>
          <w:rtl w:val="0"/>
        </w:rPr>
      </w:r>
    </w:p>
    <w:p w:rsidR="00000000" w:rsidDel="00000000" w:rsidP="00000000" w:rsidRDefault="00000000" w:rsidRPr="00000000" w14:paraId="0000011F">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REQUIRED — The work is research or R&amp;D and contains enough technical information for meaningful review.</w:t>
      </w:r>
      <w:r w:rsidDel="00000000" w:rsidR="00000000" w:rsidRPr="00000000">
        <w:rPr>
          <w:rtl w:val="0"/>
        </w:rPr>
      </w:r>
    </w:p>
    <w:p w:rsidR="00000000" w:rsidDel="00000000" w:rsidP="00000000" w:rsidRDefault="00000000" w:rsidRPr="00000000" w14:paraId="00000120">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REQUIRED — The project does not duplicate prior or current DOE-funded work; any relationship is disclosed and differentiated.</w:t>
      </w:r>
      <w:r w:rsidDel="00000000" w:rsidR="00000000" w:rsidRPr="00000000">
        <w:rPr>
          <w:rtl w:val="0"/>
        </w:rPr>
      </w:r>
    </w:p>
    <w:p w:rsidR="00000000" w:rsidDel="00000000" w:rsidP="00000000" w:rsidRDefault="00000000" w:rsidRPr="00000000" w14:paraId="00000121">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REQUIRED — All four prompts are answered directly and within the exact word limits.</w:t>
      </w:r>
      <w:r w:rsidDel="00000000" w:rsidR="00000000" w:rsidRPr="00000000">
        <w:rPr>
          <w:rtl w:val="0"/>
        </w:rPr>
      </w:r>
    </w:p>
    <w:p w:rsidR="00000000" w:rsidDel="00000000" w:rsidP="00000000" w:rsidRDefault="00000000" w:rsidRPr="00000000" w14:paraId="00000122">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REQUIRED — The pitch count does not create a company-level three-pitch problem.</w:t>
      </w:r>
      <w:r w:rsidDel="00000000" w:rsidR="00000000" w:rsidRPr="00000000">
        <w:rPr>
          <w:rtl w:val="0"/>
        </w:rPr>
      </w:r>
    </w:p>
    <w:p w:rsidR="00000000" w:rsidDel="00000000" w:rsidP="00000000" w:rsidRDefault="00000000" w:rsidRPr="00000000" w14:paraId="00000123">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REQUIRED — Generative-AI use is disclosed accurately as instructed in the application.</w:t>
      </w:r>
      <w:r w:rsidDel="00000000" w:rsidR="00000000" w:rsidRPr="00000000">
        <w:rPr>
          <w:rtl w:val="0"/>
        </w:rPr>
      </w:r>
    </w:p>
    <w:p w:rsidR="00000000" w:rsidDel="00000000" w:rsidP="00000000" w:rsidRDefault="00000000" w:rsidRPr="00000000" w14:paraId="00000124">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REQUIRED — AMP access works, and the submission is completed before the posted deadline and time zone.</w:t>
      </w:r>
      <w:r w:rsidDel="00000000" w:rsidR="00000000" w:rsidRPr="00000000">
        <w:rPr>
          <w:rtl w:val="0"/>
        </w:rPr>
      </w:r>
    </w:p>
    <w:p w:rsidR="00000000" w:rsidDel="00000000" w:rsidP="00000000" w:rsidRDefault="00000000" w:rsidRPr="00000000" w14:paraId="00000125">
      <w:pPr>
        <w:pStyle w:val="Heading2"/>
        <w:rPr/>
      </w:pPr>
      <w:r w:rsidDel="00000000" w:rsidR="00000000" w:rsidRPr="00000000">
        <w:rPr>
          <w:rtl w:val="0"/>
        </w:rPr>
        <w:t xml:space="preserve">Reviewer strength</w:t>
      </w:r>
    </w:p>
    <w:p w:rsidR="00000000" w:rsidDel="00000000" w:rsidP="00000000" w:rsidRDefault="00000000" w:rsidRPr="00000000" w14:paraId="00000126">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A reviewer can underline one sentence proving topic and mission alignment.</w:t>
      </w:r>
      <w:r w:rsidDel="00000000" w:rsidR="00000000" w:rsidRPr="00000000">
        <w:rPr>
          <w:rtl w:val="0"/>
        </w:rPr>
      </w:r>
    </w:p>
    <w:p w:rsidR="00000000" w:rsidDel="00000000" w:rsidP="00000000" w:rsidRDefault="00000000" w:rsidRPr="00000000" w14:paraId="00000127">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A reviewer can identify the technical novelty, central risk, Phase I test, and success threshold.</w:t>
      </w:r>
      <w:r w:rsidDel="00000000" w:rsidR="00000000" w:rsidRPr="00000000">
        <w:rPr>
          <w:rtl w:val="0"/>
        </w:rPr>
      </w:r>
    </w:p>
    <w:p w:rsidR="00000000" w:rsidDel="00000000" w:rsidP="00000000" w:rsidRDefault="00000000" w:rsidRPr="00000000" w14:paraId="00000128">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A reviewer can identify the customer, buyer, competing alternative, and economic or mission value.</w:t>
      </w:r>
      <w:r w:rsidDel="00000000" w:rsidR="00000000" w:rsidRPr="00000000">
        <w:rPr>
          <w:rtl w:val="0"/>
        </w:rPr>
      </w:r>
    </w:p>
    <w:p w:rsidR="00000000" w:rsidDel="00000000" w:rsidP="00000000" w:rsidRDefault="00000000" w:rsidRPr="00000000" w14:paraId="00000129">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A reviewer can match every critical task to a qualified person, partner, facility, or acquisition plan.</w:t>
      </w:r>
      <w:r w:rsidDel="00000000" w:rsidR="00000000" w:rsidRPr="00000000">
        <w:rPr>
          <w:rtl w:val="0"/>
        </w:rPr>
      </w:r>
    </w:p>
    <w:p w:rsidR="00000000" w:rsidDel="00000000" w:rsidP="00000000" w:rsidRDefault="00000000" w:rsidRPr="00000000" w14:paraId="0000012A">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The four answers tell one consistent story; numbers, scope, claims, team roles, and timeline do not conflict.</w:t>
      </w:r>
      <w:r w:rsidDel="00000000" w:rsidR="00000000" w:rsidRPr="00000000">
        <w:rPr>
          <w:rtl w:val="0"/>
        </w:rPr>
      </w:r>
    </w:p>
    <w:p w:rsidR="00000000" w:rsidDel="00000000" w:rsidP="00000000" w:rsidRDefault="00000000" w:rsidRPr="00000000" w14:paraId="0000012B">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Claims of partnerships, data access, IP rights, pilots, customer interest, or funding are documented and not overstated.</w:t>
      </w:r>
      <w:r w:rsidDel="00000000" w:rsidR="00000000" w:rsidRPr="00000000">
        <w:rPr>
          <w:rtl w:val="0"/>
        </w:rPr>
      </w:r>
    </w:p>
    <w:p w:rsidR="00000000" w:rsidDel="00000000" w:rsidP="00000000" w:rsidRDefault="00000000" w:rsidRPr="00000000" w14:paraId="0000012C">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A technically literate outsider can summarize the pitch accurately after one read.</w:t>
      </w:r>
      <w:r w:rsidDel="00000000" w:rsidR="00000000" w:rsidRPr="00000000">
        <w:rPr>
          <w:rtl w:val="0"/>
        </w:rPr>
      </w:r>
    </w:p>
    <w:p w:rsidR="00000000" w:rsidDel="00000000" w:rsidP="00000000" w:rsidRDefault="00000000" w:rsidRPr="00000000" w14:paraId="0000012D">
      <w:pPr>
        <w:pStyle w:val="Heading1"/>
        <w:rPr/>
      </w:pPr>
      <w:r w:rsidDel="00000000" w:rsidR="00000000" w:rsidRPr="00000000">
        <w:rPr>
          <w:rtl w:val="0"/>
        </w:rPr>
        <w:t xml:space="preserve">Submission Record + Decision Log</w:t>
      </w:r>
    </w:p>
    <w:p w:rsidR="00000000" w:rsidDel="00000000" w:rsidP="00000000" w:rsidRDefault="00000000" w:rsidRPr="00000000" w14:paraId="0000012E">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Final topic and subtopic: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2F">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Final pitch title: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30">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Final word count — Response 1 / 2 / 3 / 4: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31">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Files uploaded, if any: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32">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AI-use disclosure completed by: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33">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Submitted by / date / time / time zone: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34">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ConnectWerx confirmation email received: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35">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AMP status checked: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tbl>
      <w:tblPr>
        <w:tblStyle w:val="Table23"/>
        <w:tblW w:w="9360.0" w:type="dxa"/>
        <w:jc w:val="left"/>
        <w:tblLayout w:type="fixed"/>
        <w:tblLook w:val="0400"/>
      </w:tblPr>
      <w:tblGrid>
        <w:gridCol w:w="9360"/>
        <w:tblGridChange w:id="0">
          <w:tblGrid>
            <w:gridCol w:w="9360"/>
          </w:tblGrid>
        </w:tblGridChange>
      </w:tblGrid>
      <w:tr>
        <w:trPr>
          <w:cantSplit w:val="0"/>
          <w:tblHeader w:val="0"/>
        </w:trPr>
        <w:tc>
          <w:tcPr>
            <w:shd w:fill="fff4ce" w:val="clear"/>
            <w:tcMar>
              <w:top w:w="110.0" w:type="dxa"/>
              <w:left w:w="120.0" w:type="dxa"/>
              <w:bottom w:w="110.0" w:type="dxa"/>
              <w:right w:w="120.0" w:type="dxa"/>
            </w:tcMar>
            <w:vAlign w:val="center"/>
          </w:tcPr>
          <w:p w:rsidR="00000000" w:rsidDel="00000000" w:rsidP="00000000" w:rsidRDefault="00000000" w:rsidRPr="00000000" w14:paraId="00000136">
            <w:pPr>
              <w:spacing w:after="0" w:lineRule="auto"/>
              <w:rPr>
                <w:rFonts w:ascii="Calibri" w:cs="Calibri" w:eastAsia="Calibri" w:hAnsi="Calibri"/>
              </w:rPr>
            </w:pPr>
            <w:r w:rsidDel="00000000" w:rsidR="00000000" w:rsidRPr="00000000">
              <w:rPr>
                <w:rFonts w:ascii="Calibri" w:cs="Calibri" w:eastAsia="Calibri" w:hAnsi="Calibri"/>
                <w:b w:val="1"/>
                <w:bCs w:val="1"/>
                <w:color w:val="7a5a00"/>
                <w:sz w:val="21"/>
                <w:szCs w:val="21"/>
                <w:rtl w:val="0"/>
              </w:rPr>
              <w:t xml:space="preserve">DECISION NOTICE: </w:t>
            </w:r>
            <w:r w:rsidDel="00000000" w:rsidR="00000000" w:rsidRPr="00000000">
              <w:rPr>
                <w:rFonts w:ascii="Calibri" w:cs="Calibri" w:eastAsia="Calibri" w:hAnsi="Calibri"/>
                <w:sz w:val="21"/>
                <w:szCs w:val="21"/>
                <w:rtl w:val="0"/>
              </w:rPr>
              <w:t xml:space="preserve">DOE says applicants will receive an email when a decision is complete and can view the status in AMP. If no invitation is extended, DOE indicates a brief explanation will be shared; do not assume detailed coaching or a right to resubmit outside the next posted opportunity.</w:t>
            </w:r>
            <w:r w:rsidDel="00000000" w:rsidR="00000000" w:rsidRPr="00000000">
              <w:rPr>
                <w:rtl w:val="0"/>
              </w:rPr>
            </w:r>
          </w:p>
        </w:tc>
      </w:tr>
    </w:tbl>
    <w:p w:rsidR="00000000" w:rsidDel="00000000" w:rsidP="00000000" w:rsidRDefault="00000000" w:rsidRPr="00000000" w14:paraId="00000137">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DOE/ConnectWerx decision and date: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38">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Invitation conditions or brief explanation: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39">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Full-application deadline, if invited: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3A">
      <w:pPr>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Assigned proposal lead and next action: </w:t>
      </w:r>
      <w:r w:rsidDel="00000000" w:rsidR="00000000" w:rsidRPr="00000000">
        <w:rPr>
          <w:rFonts w:ascii="Calibri" w:cs="Calibri" w:eastAsia="Calibri" w:hAnsi="Calibri"/>
          <w:i w:val="1"/>
          <w:iCs w:val="1"/>
          <w:color w:val="5e6b75"/>
          <w:sz w:val="21"/>
          <w:szCs w:val="21"/>
          <w:rtl w:val="0"/>
        </w:rPr>
        <w:t xml:space="preserve">[Enter here]</w:t>
      </w:r>
      <w:r w:rsidDel="00000000" w:rsidR="00000000" w:rsidRPr="00000000">
        <w:rPr>
          <w:rtl w:val="0"/>
        </w:rPr>
      </w:r>
    </w:p>
    <w:p w:rsidR="00000000" w:rsidDel="00000000" w:rsidP="00000000" w:rsidRDefault="00000000" w:rsidRPr="00000000" w14:paraId="0000013B">
      <w:pPr>
        <w:pageBreakBefore w:val="1"/>
        <w:rPr>
          <w:rFonts w:ascii="Calibri" w:cs="Calibri" w:eastAsia="Calibri" w:hAnsi="Calibri"/>
        </w:rPr>
      </w:pPr>
      <w:r w:rsidDel="00000000" w:rsidR="00000000" w:rsidRPr="00000000">
        <w:rPr>
          <w:rtl w:val="0"/>
        </w:rPr>
      </w:r>
    </w:p>
    <w:p w:rsidR="00000000" w:rsidDel="00000000" w:rsidP="00000000" w:rsidRDefault="00000000" w:rsidRPr="00000000" w14:paraId="0000013C">
      <w:pPr>
        <w:pStyle w:val="Heading1"/>
        <w:rPr/>
      </w:pPr>
      <w:r w:rsidDel="00000000" w:rsidR="00000000" w:rsidRPr="00000000">
        <w:rPr>
          <w:rtl w:val="0"/>
        </w:rPr>
        <w:t xml:space="preserve">9. Rule Notes + Official Sources</w:t>
      </w:r>
    </w:p>
    <w:tbl>
      <w:tblPr>
        <w:tblStyle w:val="Table24"/>
        <w:tblW w:w="9360.0" w:type="dxa"/>
        <w:jc w:val="left"/>
        <w:tblLayout w:type="fixed"/>
        <w:tblLook w:val="0400"/>
      </w:tblPr>
      <w:tblGrid>
        <w:gridCol w:w="9360"/>
        <w:tblGridChange w:id="0">
          <w:tblGrid>
            <w:gridCol w:w="9360"/>
          </w:tblGrid>
        </w:tblGridChange>
      </w:tblGrid>
      <w:tr>
        <w:trPr>
          <w:cantSplit w:val="0"/>
          <w:tblHeader w:val="0"/>
        </w:trPr>
        <w:tc>
          <w:tcPr>
            <w:shd w:fill="e8eef5" w:val="clear"/>
            <w:tcMar>
              <w:top w:w="110.0" w:type="dxa"/>
              <w:left w:w="120.0" w:type="dxa"/>
              <w:bottom w:w="110.0" w:type="dxa"/>
              <w:right w:w="120.0" w:type="dxa"/>
            </w:tcMar>
            <w:vAlign w:val="center"/>
          </w:tcPr>
          <w:p w:rsidR="00000000" w:rsidDel="00000000" w:rsidP="00000000" w:rsidRDefault="00000000" w:rsidRPr="00000000" w14:paraId="0000013D">
            <w:pPr>
              <w:spacing w:after="0" w:lineRule="auto"/>
              <w:rPr>
                <w:rFonts w:ascii="Calibri" w:cs="Calibri" w:eastAsia="Calibri" w:hAnsi="Calibri"/>
              </w:rPr>
            </w:pPr>
            <w:r w:rsidDel="00000000" w:rsidR="00000000" w:rsidRPr="00000000">
              <w:rPr>
                <w:rFonts w:ascii="Calibri" w:cs="Calibri" w:eastAsia="Calibri" w:hAnsi="Calibri"/>
                <w:b w:val="1"/>
                <w:bCs w:val="1"/>
                <w:color w:val="17365d"/>
                <w:sz w:val="21"/>
                <w:szCs w:val="21"/>
                <w:rtl w:val="0"/>
              </w:rPr>
              <w:t xml:space="preserve">CONFIRMED VS. RECOMMENDED: </w:t>
            </w:r>
            <w:r w:rsidDel="00000000" w:rsidR="00000000" w:rsidRPr="00000000">
              <w:rPr>
                <w:rFonts w:ascii="Calibri" w:cs="Calibri" w:eastAsia="Calibri" w:hAnsi="Calibri"/>
                <w:sz w:val="21"/>
                <w:szCs w:val="21"/>
                <w:rtl w:val="0"/>
              </w:rPr>
              <w:t xml:space="preserve">Process rules in this workbook are based on the official DOE and DOE-authorized Application Hub pages available on August 11, 2026. Drafting formulas, sequencing, and the ten tips are strategic recommendations. The live opportunity and portal instructions control if anything changes.</w:t>
            </w:r>
            <w:r w:rsidDel="00000000" w:rsidR="00000000" w:rsidRPr="00000000">
              <w:rPr>
                <w:rtl w:val="0"/>
              </w:rPr>
            </w:r>
          </w:p>
        </w:tc>
      </w:tr>
    </w:tbl>
    <w:p w:rsidR="00000000" w:rsidDel="00000000" w:rsidP="00000000" w:rsidRDefault="00000000" w:rsidRPr="00000000" w14:paraId="0000013E">
      <w:pPr>
        <w:pStyle w:val="Heading2"/>
        <w:rPr/>
      </w:pPr>
      <w:r w:rsidDel="00000000" w:rsidR="00000000" w:rsidRPr="00000000">
        <w:rPr>
          <w:rtl w:val="0"/>
        </w:rPr>
        <w:t xml:space="preserve">Important rule notes</w:t>
      </w:r>
    </w:p>
    <w:p w:rsidR="00000000" w:rsidDel="00000000" w:rsidP="00000000" w:rsidRDefault="00000000" w:rsidRPr="00000000" w14:paraId="000001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b w:val="0"/>
          <w:bCs w:val="0"/>
          <w:i w:val="0"/>
          <w:iCs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tl w:val="0"/>
        </w:rPr>
        <w:t xml:space="preserve">Scope: </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DOE describes the pitch as the entry point for new Phase I participants under its redesigned SBIR/STTR program. The FY26 Genesis Mission opportunity is the first implementation; future opportunities may revise fields, limits, dates, or criteria.</w:t>
      </w: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b w:val="0"/>
          <w:bCs w:val="0"/>
          <w:i w:val="0"/>
          <w:iCs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tl w:val="0"/>
        </w:rPr>
        <w:t xml:space="preserve">Eligibility timing: </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A company being formed may submit at the pitch stage, according to the Application Hub FAQ, but all required company registrations must be completed by the time DOE requires them. Start SAM early because DOE estimates it can take up to eight weeks.</w:t>
      </w: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b w:val="0"/>
          <w:bCs w:val="0"/>
          <w:i w:val="0"/>
          <w:iCs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tl w:val="0"/>
        </w:rPr>
        <w:t xml:space="preserve">Program choice: </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SBIR permits but does not require a nonprofit research partner; STTR requires a nonprofit research institution and has different workshare rules. Confirm the current statutory and opportunity-specific requirements before selecting SBIR, STTR, or both.</w:t>
      </w:r>
      <w:r w:rsidDel="00000000" w:rsidR="00000000" w:rsidRPr="00000000">
        <w:rPr>
          <w:rtl w:val="0"/>
        </w:rPr>
      </w:r>
    </w:p>
    <w:p w:rsidR="00000000" w:rsidDel="00000000" w:rsidP="00000000" w:rsidRDefault="00000000" w:rsidRPr="00000000" w14:paraId="000001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b w:val="0"/>
          <w:bCs w:val="0"/>
          <w:i w:val="0"/>
          <w:iCs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tl w:val="0"/>
        </w:rPr>
        <w:t xml:space="preserve">Selection, proprietary information, and AI: </w:t>
      </w:r>
      <w:r w:rsidDel="00000000" w:rsidR="00000000" w:rsidRPr="00000000">
        <w:rPr>
          <w:rFonts w:ascii="Calibri" w:cs="Calibri" w:eastAsia="Calibri" w:hAnsi="Calibri"/>
          <w:i w:val="0"/>
          <w:iCs w:val="0"/>
          <w:smallCaps w:val="0"/>
          <w:strike w:val="0"/>
          <w:color w:val="222222"/>
          <w:sz w:val="22"/>
          <w:szCs w:val="22"/>
          <w:u w:val="none"/>
          <w:shd w:fill="auto" w:val="clear"/>
          <w:vertAlign w:val="baseline"/>
          <w:rtl w:val="0"/>
        </w:rPr>
        <w:t xml:space="preserve">Expert scores are not the only consideration. DOE lists portfolio balance, policy alignment, nonduplication, technology/approach diversity, prior performance, organizational/geographic balance, first-time awardees, statutory metrics, and National Laboratory/IP partnerships as possible policy factors. Follow current proprietary marking instructions. The official FAQ states that DOE and its Partnership Intermediary may use AI to evaluate application information, including proprietary information, and requires applicants to disclose their own generative-AI use.</w:t>
      </w:r>
      <w:r w:rsidDel="00000000" w:rsidR="00000000" w:rsidRPr="00000000">
        <w:rPr>
          <w:rtl w:val="0"/>
        </w:rPr>
      </w:r>
    </w:p>
    <w:p w:rsidR="00000000" w:rsidDel="00000000" w:rsidP="00000000" w:rsidRDefault="00000000" w:rsidRPr="00000000" w14:paraId="00000143">
      <w:pPr>
        <w:pStyle w:val="Heading2"/>
        <w:rPr/>
      </w:pPr>
      <w:r w:rsidDel="00000000" w:rsidR="00000000" w:rsidRPr="00000000">
        <w:rPr>
          <w:rtl w:val="0"/>
        </w:rPr>
        <w:t xml:space="preserve">Official sources</w:t>
      </w:r>
    </w:p>
    <w:p w:rsidR="00000000" w:rsidDel="00000000" w:rsidP="00000000" w:rsidRDefault="00000000" w:rsidRPr="00000000" w14:paraId="00000144">
      <w:pPr>
        <w:spacing w:after="60" w:lineRule="auto"/>
        <w:ind w:left="216" w:hanging="216"/>
        <w:rPr>
          <w:rFonts w:ascii="Calibri" w:cs="Calibri" w:eastAsia="Calibri" w:hAnsi="Calibri"/>
        </w:rPr>
      </w:pPr>
      <w:r w:rsidDel="00000000" w:rsidR="00000000" w:rsidRPr="00000000">
        <w:rPr>
          <w:rFonts w:ascii="Calibri" w:cs="Calibri" w:eastAsia="Calibri" w:hAnsi="Calibri"/>
          <w:sz w:val="17"/>
          <w:szCs w:val="17"/>
          <w:rtl w:val="0"/>
        </w:rPr>
        <w:t xml:space="preserve">U.S. Department of Energy. (2026). DOE Small Business Innovation Research (SBIR) and Small Business Technology Transfer (STTR). </w:t>
      </w:r>
      <w:hyperlink r:id="rId7">
        <w:r w:rsidDel="00000000" w:rsidR="00000000" w:rsidRPr="00000000">
          <w:rPr>
            <w:rFonts w:ascii="Calibri" w:cs="Calibri" w:eastAsia="Calibri" w:hAnsi="Calibri"/>
            <w:color w:val="2e74b5"/>
            <w:sz w:val="17"/>
            <w:szCs w:val="17"/>
            <w:u w:val="single"/>
            <w:rtl w:val="0"/>
          </w:rPr>
          <w:t xml:space="preserve">https://www.energy.gov/technologycommercialization/doe-small-business-innovation-research-sbir-and-small-business</w:t>
        </w:r>
      </w:hyperlink>
      <w:r w:rsidDel="00000000" w:rsidR="00000000" w:rsidRPr="00000000">
        <w:rPr>
          <w:rtl w:val="0"/>
        </w:rPr>
      </w:r>
    </w:p>
    <w:p w:rsidR="00000000" w:rsidDel="00000000" w:rsidP="00000000" w:rsidRDefault="00000000" w:rsidRPr="00000000" w14:paraId="00000145">
      <w:pPr>
        <w:spacing w:after="60" w:lineRule="auto"/>
        <w:ind w:left="216" w:hanging="216"/>
        <w:rPr>
          <w:rFonts w:ascii="Calibri" w:cs="Calibri" w:eastAsia="Calibri" w:hAnsi="Calibri"/>
        </w:rPr>
      </w:pPr>
      <w:r w:rsidDel="00000000" w:rsidR="00000000" w:rsidRPr="00000000">
        <w:rPr>
          <w:rFonts w:ascii="Calibri" w:cs="Calibri" w:eastAsia="Calibri" w:hAnsi="Calibri"/>
          <w:sz w:val="17"/>
          <w:szCs w:val="17"/>
          <w:rtl w:val="0"/>
        </w:rPr>
        <w:t xml:space="preserve">U.S. Department of Energy. (2026). SBIR/STTR Applicant Resources. </w:t>
      </w:r>
      <w:hyperlink r:id="rId8">
        <w:r w:rsidDel="00000000" w:rsidR="00000000" w:rsidRPr="00000000">
          <w:rPr>
            <w:rFonts w:ascii="Calibri" w:cs="Calibri" w:eastAsia="Calibri" w:hAnsi="Calibri"/>
            <w:color w:val="2e74b5"/>
            <w:sz w:val="17"/>
            <w:szCs w:val="17"/>
            <w:u w:val="single"/>
            <w:rtl w:val="0"/>
          </w:rPr>
          <w:t xml:space="preserve">https://www.energy.gov/technologycommercialization/sbirsttr-applicant-resources-0</w:t>
        </w:r>
      </w:hyperlink>
      <w:r w:rsidDel="00000000" w:rsidR="00000000" w:rsidRPr="00000000">
        <w:rPr>
          <w:rtl w:val="0"/>
        </w:rPr>
      </w:r>
    </w:p>
    <w:p w:rsidR="00000000" w:rsidDel="00000000" w:rsidP="00000000" w:rsidRDefault="00000000" w:rsidRPr="00000000" w14:paraId="00000146">
      <w:pPr>
        <w:spacing w:after="60" w:lineRule="auto"/>
        <w:ind w:left="216" w:hanging="216"/>
        <w:rPr>
          <w:rFonts w:ascii="Calibri" w:cs="Calibri" w:eastAsia="Calibri" w:hAnsi="Calibri"/>
        </w:rPr>
      </w:pPr>
      <w:r w:rsidDel="00000000" w:rsidR="00000000" w:rsidRPr="00000000">
        <w:rPr>
          <w:rFonts w:ascii="Calibri" w:cs="Calibri" w:eastAsia="Calibri" w:hAnsi="Calibri"/>
          <w:sz w:val="17"/>
          <w:szCs w:val="17"/>
          <w:rtl w:val="0"/>
        </w:rPr>
        <w:t xml:space="preserve">ConnectWerx, a DOE Partnership Intermediary. (2026). DOE SBIR/STTR Application Hub. </w:t>
      </w:r>
      <w:hyperlink r:id="rId9">
        <w:r w:rsidDel="00000000" w:rsidR="00000000" w:rsidRPr="00000000">
          <w:rPr>
            <w:rFonts w:ascii="Calibri" w:cs="Calibri" w:eastAsia="Calibri" w:hAnsi="Calibri"/>
            <w:color w:val="2e74b5"/>
            <w:sz w:val="17"/>
            <w:szCs w:val="17"/>
            <w:u w:val="single"/>
            <w:rtl w:val="0"/>
          </w:rPr>
          <w:t xml:space="preserve">https://sbir-sttr.connectwerx.org/</w:t>
        </w:r>
      </w:hyperlink>
      <w:r w:rsidDel="00000000" w:rsidR="00000000" w:rsidRPr="00000000">
        <w:rPr>
          <w:rtl w:val="0"/>
        </w:rPr>
      </w:r>
    </w:p>
    <w:p w:rsidR="00000000" w:rsidDel="00000000" w:rsidP="00000000" w:rsidRDefault="00000000" w:rsidRPr="00000000" w14:paraId="00000147">
      <w:pPr>
        <w:spacing w:after="60" w:lineRule="auto"/>
        <w:ind w:left="216" w:hanging="216"/>
        <w:rPr>
          <w:rFonts w:ascii="Calibri" w:cs="Calibri" w:eastAsia="Calibri" w:hAnsi="Calibri"/>
        </w:rPr>
      </w:pPr>
      <w:r w:rsidDel="00000000" w:rsidR="00000000" w:rsidRPr="00000000">
        <w:rPr>
          <w:rFonts w:ascii="Calibri" w:cs="Calibri" w:eastAsia="Calibri" w:hAnsi="Calibri"/>
          <w:sz w:val="17"/>
          <w:szCs w:val="17"/>
          <w:rtl w:val="0"/>
        </w:rPr>
        <w:t xml:space="preserve">ConnectWerx, a DOE Partnership Intermediary. (2026). Resources and Frequently Asked Questions. </w:t>
      </w:r>
      <w:hyperlink r:id="rId10">
        <w:r w:rsidDel="00000000" w:rsidR="00000000" w:rsidRPr="00000000">
          <w:rPr>
            <w:rFonts w:ascii="Calibri" w:cs="Calibri" w:eastAsia="Calibri" w:hAnsi="Calibri"/>
            <w:color w:val="2e74b5"/>
            <w:sz w:val="17"/>
            <w:szCs w:val="17"/>
            <w:u w:val="single"/>
            <w:rtl w:val="0"/>
          </w:rPr>
          <w:t xml:space="preserve">https://sbir-sttr.connectwerx.org/resources/</w:t>
        </w:r>
      </w:hyperlink>
      <w:r w:rsidDel="00000000" w:rsidR="00000000" w:rsidRPr="00000000">
        <w:rPr>
          <w:rtl w:val="0"/>
        </w:rPr>
      </w:r>
    </w:p>
    <w:p w:rsidR="00000000" w:rsidDel="00000000" w:rsidP="00000000" w:rsidRDefault="00000000" w:rsidRPr="00000000" w14:paraId="00000148">
      <w:pPr>
        <w:spacing w:after="60" w:lineRule="auto"/>
        <w:ind w:left="216" w:hanging="216"/>
        <w:rPr>
          <w:rFonts w:ascii="Calibri" w:cs="Calibri" w:eastAsia="Calibri" w:hAnsi="Calibri"/>
        </w:rPr>
      </w:pPr>
      <w:r w:rsidDel="00000000" w:rsidR="00000000" w:rsidRPr="00000000">
        <w:rPr>
          <w:rFonts w:ascii="Calibri" w:cs="Calibri" w:eastAsia="Calibri" w:hAnsi="Calibri"/>
          <w:sz w:val="17"/>
          <w:szCs w:val="17"/>
          <w:rtl w:val="0"/>
        </w:rPr>
        <w:t xml:space="preserve">ConnectWerx, a DOE Partnership Intermediary. (2026). FY26 Phase I — Genesis Mission. </w:t>
      </w:r>
      <w:hyperlink r:id="rId11">
        <w:r w:rsidDel="00000000" w:rsidR="00000000" w:rsidRPr="00000000">
          <w:rPr>
            <w:rFonts w:ascii="Calibri" w:cs="Calibri" w:eastAsia="Calibri" w:hAnsi="Calibri"/>
            <w:color w:val="2e74b5"/>
            <w:sz w:val="17"/>
            <w:szCs w:val="17"/>
            <w:u w:val="single"/>
            <w:rtl w:val="0"/>
          </w:rPr>
          <w:t xml:space="preserve">https://sbir-sttr.connectwerx.org/portfolio-items/fy26genesismission/</w:t>
        </w:r>
      </w:hyperlink>
      <w:r w:rsidDel="00000000" w:rsidR="00000000" w:rsidRPr="00000000">
        <w:rPr>
          <w:rtl w:val="0"/>
        </w:rPr>
      </w:r>
    </w:p>
    <w:p w:rsidR="00000000" w:rsidDel="00000000" w:rsidP="00000000" w:rsidRDefault="00000000" w:rsidRPr="00000000" w14:paraId="00000149">
      <w:pPr>
        <w:spacing w:after="60" w:lineRule="auto"/>
        <w:ind w:left="216" w:hanging="216"/>
        <w:rPr>
          <w:rFonts w:ascii="Calibri" w:cs="Calibri" w:eastAsia="Calibri" w:hAnsi="Calibri"/>
        </w:rPr>
      </w:pPr>
      <w:r w:rsidDel="00000000" w:rsidR="00000000" w:rsidRPr="00000000">
        <w:rPr>
          <w:rFonts w:ascii="Calibri" w:cs="Calibri" w:eastAsia="Calibri" w:hAnsi="Calibri"/>
          <w:sz w:val="17"/>
          <w:szCs w:val="17"/>
          <w:rtl w:val="0"/>
        </w:rPr>
        <w:t xml:space="preserve">ConnectWerx, a DOE Partnership Intermediary. (2026). SBIR/STTR Program Eligibility Criteria. </w:t>
      </w:r>
      <w:hyperlink r:id="rId12">
        <w:r w:rsidDel="00000000" w:rsidR="00000000" w:rsidRPr="00000000">
          <w:rPr>
            <w:rFonts w:ascii="Calibri" w:cs="Calibri" w:eastAsia="Calibri" w:hAnsi="Calibri"/>
            <w:color w:val="2e74b5"/>
            <w:sz w:val="17"/>
            <w:szCs w:val="17"/>
            <w:u w:val="single"/>
            <w:rtl w:val="0"/>
          </w:rPr>
          <w:t xml:space="preserve">https://sbir-sttr.connectwerx.org/eligibility-criteria/</w:t>
        </w:r>
      </w:hyperlink>
      <w:r w:rsidDel="00000000" w:rsidR="00000000" w:rsidRPr="00000000">
        <w:rPr>
          <w:rtl w:val="0"/>
        </w:rPr>
      </w:r>
    </w:p>
    <w:p w:rsidR="00000000" w:rsidDel="00000000" w:rsidP="00000000" w:rsidRDefault="00000000" w:rsidRPr="00000000" w14:paraId="0000014A">
      <w:pPr>
        <w:spacing w:after="60" w:lineRule="auto"/>
        <w:ind w:left="216" w:hanging="216"/>
        <w:rPr>
          <w:rFonts w:ascii="Calibri" w:cs="Calibri" w:eastAsia="Calibri" w:hAnsi="Calibri"/>
        </w:rPr>
      </w:pPr>
      <w:r w:rsidDel="00000000" w:rsidR="00000000" w:rsidRPr="00000000">
        <w:rPr>
          <w:rFonts w:ascii="Calibri" w:cs="Calibri" w:eastAsia="Calibri" w:hAnsi="Calibri"/>
          <w:sz w:val="17"/>
          <w:szCs w:val="17"/>
          <w:rtl w:val="0"/>
        </w:rPr>
        <w:t xml:space="preserve">U.S. Department of Energy. (2026). Required SBIR/STTR Registrations. </w:t>
      </w:r>
      <w:hyperlink r:id="rId13">
        <w:r w:rsidDel="00000000" w:rsidR="00000000" w:rsidRPr="00000000">
          <w:rPr>
            <w:rFonts w:ascii="Calibri" w:cs="Calibri" w:eastAsia="Calibri" w:hAnsi="Calibri"/>
            <w:color w:val="2e74b5"/>
            <w:sz w:val="17"/>
            <w:szCs w:val="17"/>
            <w:u w:val="single"/>
            <w:rtl w:val="0"/>
          </w:rPr>
          <w:t xml:space="preserve">https://www.energy.gov/technologycommercialization/required-sbirsttr-registrations</w:t>
        </w:r>
      </w:hyperlink>
      <w:r w:rsidDel="00000000" w:rsidR="00000000" w:rsidRPr="00000000">
        <w:rPr>
          <w:rtl w:val="0"/>
        </w:rPr>
      </w:r>
    </w:p>
    <w:p w:rsidR="00000000" w:rsidDel="00000000" w:rsidP="00000000" w:rsidRDefault="00000000" w:rsidRPr="00000000" w14:paraId="0000014B">
      <w:pPr>
        <w:spacing w:after="60" w:lineRule="auto"/>
        <w:ind w:left="216" w:hanging="216"/>
        <w:rPr>
          <w:rFonts w:ascii="Calibri" w:cs="Calibri" w:eastAsia="Calibri" w:hAnsi="Calibri"/>
        </w:rPr>
      </w:pPr>
      <w:r w:rsidDel="00000000" w:rsidR="00000000" w:rsidRPr="00000000">
        <w:rPr>
          <w:rFonts w:ascii="Calibri" w:cs="Calibri" w:eastAsia="Calibri" w:hAnsi="Calibri"/>
          <w:sz w:val="17"/>
          <w:szCs w:val="17"/>
          <w:rtl w:val="0"/>
        </w:rPr>
        <w:t xml:space="preserve">U.S. Department of Energy. (2026). SBIR/STTR Program Policy Factors. </w:t>
      </w:r>
      <w:hyperlink r:id="rId14">
        <w:r w:rsidDel="00000000" w:rsidR="00000000" w:rsidRPr="00000000">
          <w:rPr>
            <w:rFonts w:ascii="Calibri" w:cs="Calibri" w:eastAsia="Calibri" w:hAnsi="Calibri"/>
            <w:color w:val="2e74b5"/>
            <w:sz w:val="17"/>
            <w:szCs w:val="17"/>
            <w:u w:val="single"/>
            <w:rtl w:val="0"/>
          </w:rPr>
          <w:t xml:space="preserve">https://www.energy.gov/technologycommercialization/sbirsttr-program-policy-factors</w:t>
        </w:r>
      </w:hyperlink>
      <w:r w:rsidDel="00000000" w:rsidR="00000000" w:rsidRPr="00000000">
        <w:rPr>
          <w:rtl w:val="0"/>
        </w:rPr>
      </w:r>
    </w:p>
    <w:p w:rsidR="00000000" w:rsidDel="00000000" w:rsidP="00000000" w:rsidRDefault="00000000" w:rsidRPr="00000000" w14:paraId="0000014C">
      <w:pPr>
        <w:pStyle w:val="Heading1"/>
        <w:rPr/>
      </w:pPr>
      <w:r w:rsidDel="00000000" w:rsidR="00000000" w:rsidRPr="00000000">
        <w:rPr>
          <w:rtl w:val="0"/>
        </w:rPr>
        <w:t xml:space="preserve">Client File + Update Log</w:t>
      </w:r>
    </w:p>
    <w:p w:rsidR="00000000" w:rsidDel="00000000" w:rsidP="00000000" w:rsidRDefault="00000000" w:rsidRPr="00000000" w14:paraId="0000014D">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Downloaded the current Pitch Development Guide and pasted each exact prompt and word cap into this workbook.</w:t>
      </w:r>
      <w:r w:rsidDel="00000000" w:rsidR="00000000" w:rsidRPr="00000000">
        <w:rPr>
          <w:rtl w:val="0"/>
        </w:rPr>
      </w:r>
    </w:p>
    <w:p w:rsidR="00000000" w:rsidDel="00000000" w:rsidP="00000000" w:rsidRDefault="00000000" w:rsidRPr="00000000" w14:paraId="0000014E">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Saved the selected topic description and every linked technical reference used to interpret the scope.</w:t>
      </w:r>
      <w:r w:rsidDel="00000000" w:rsidR="00000000" w:rsidRPr="00000000">
        <w:rPr>
          <w:rtl w:val="0"/>
        </w:rPr>
      </w:r>
    </w:p>
    <w:p w:rsidR="00000000" w:rsidDel="00000000" w:rsidP="00000000" w:rsidRDefault="00000000" w:rsidRPr="00000000" w14:paraId="0000014F">
      <w:pPr>
        <w:spacing w:after="60" w:lineRule="auto"/>
        <w:ind w:left="29" w:firstLine="0"/>
        <w:rPr>
          <w:rFonts w:ascii="Calibri" w:cs="Calibri" w:eastAsia="Calibri" w:hAnsi="Calibri"/>
        </w:rPr>
      </w:pPr>
      <w:r w:rsidDel="00000000" w:rsidR="00000000" w:rsidRPr="00000000">
        <w:rPr>
          <w:rFonts w:ascii="Calibri" w:cs="Calibri" w:eastAsia="Calibri" w:hAnsi="Calibri"/>
          <w:color w:val="147d7e"/>
          <w:sz w:val="22"/>
          <w:szCs w:val="22"/>
          <w:rtl w:val="0"/>
        </w:rPr>
        <w:t xml:space="preserve">☐ </w:t>
      </w:r>
      <w:r w:rsidDel="00000000" w:rsidR="00000000" w:rsidRPr="00000000">
        <w:rPr>
          <w:rFonts w:ascii="Calibri" w:cs="Calibri" w:eastAsia="Calibri" w:hAnsi="Calibri"/>
          <w:sz w:val="21"/>
          <w:szCs w:val="21"/>
          <w:rtl w:val="0"/>
        </w:rPr>
        <w:t xml:space="preserve">Saved a PDF or screenshot of the final submitted pitch and confirmation email in the client record.</w:t>
      </w:r>
      <w:r w:rsidDel="00000000" w:rsidR="00000000" w:rsidRPr="00000000">
        <w:rPr>
          <w:rtl w:val="0"/>
        </w:rPr>
      </w:r>
    </w:p>
    <w:tbl>
      <w:tblPr>
        <w:tblStyle w:val="Table25"/>
        <w:tblW w:w="9360.0" w:type="dxa"/>
        <w:jc w:val="left"/>
        <w:tblLayout w:type="fixed"/>
        <w:tblLook w:val="0400"/>
      </w:tblPr>
      <w:tblGrid>
        <w:gridCol w:w="1500"/>
        <w:gridCol w:w="1900"/>
        <w:gridCol w:w="3000"/>
        <w:gridCol w:w="2960"/>
        <w:tblGridChange w:id="0">
          <w:tblGrid>
            <w:gridCol w:w="1500"/>
            <w:gridCol w:w="1900"/>
            <w:gridCol w:w="3000"/>
            <w:gridCol w:w="2960"/>
          </w:tblGrid>
        </w:tblGridChange>
      </w:tblGrid>
      <w:tr>
        <w:trPr>
          <w:cantSplit w:val="0"/>
          <w:tblHeader w:val="1"/>
        </w:trPr>
        <w:tc>
          <w:tcPr>
            <w:shd w:fill="17365d" w:val="clear"/>
            <w:tcMar>
              <w:top w:w="110.0" w:type="dxa"/>
              <w:left w:w="120.0" w:type="dxa"/>
              <w:bottom w:w="110.0" w:type="dxa"/>
              <w:right w:w="120.0" w:type="dxa"/>
            </w:tcMar>
          </w:tcPr>
          <w:p w:rsidR="00000000" w:rsidDel="00000000" w:rsidP="00000000" w:rsidRDefault="00000000" w:rsidRPr="00000000" w14:paraId="00000150">
            <w:pPr>
              <w:rPr>
                <w:rFonts w:ascii="Calibri" w:cs="Calibri" w:eastAsia="Calibri" w:hAnsi="Calibri"/>
              </w:rPr>
            </w:pPr>
            <w:r w:rsidDel="00000000" w:rsidR="00000000" w:rsidRPr="00000000">
              <w:rPr>
                <w:rFonts w:ascii="Calibri" w:cs="Calibri" w:eastAsia="Calibri" w:hAnsi="Calibri"/>
                <w:b w:val="1"/>
                <w:bCs w:val="1"/>
                <w:color w:val="ffffff"/>
                <w:sz w:val="19"/>
                <w:szCs w:val="19"/>
                <w:rtl w:val="0"/>
              </w:rPr>
              <w:t xml:space="preserve">Date</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151">
            <w:pPr>
              <w:rPr>
                <w:rFonts w:ascii="Calibri" w:cs="Calibri" w:eastAsia="Calibri" w:hAnsi="Calibri"/>
              </w:rPr>
            </w:pPr>
            <w:r w:rsidDel="00000000" w:rsidR="00000000" w:rsidRPr="00000000">
              <w:rPr>
                <w:rFonts w:ascii="Calibri" w:cs="Calibri" w:eastAsia="Calibri" w:hAnsi="Calibri"/>
                <w:b w:val="1"/>
                <w:bCs w:val="1"/>
                <w:color w:val="ffffff"/>
                <w:sz w:val="19"/>
                <w:szCs w:val="19"/>
                <w:rtl w:val="0"/>
              </w:rPr>
              <w:t xml:space="preserve">Reviewer</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152">
            <w:pPr>
              <w:rPr>
                <w:rFonts w:ascii="Calibri" w:cs="Calibri" w:eastAsia="Calibri" w:hAnsi="Calibri"/>
              </w:rPr>
            </w:pPr>
            <w:r w:rsidDel="00000000" w:rsidR="00000000" w:rsidRPr="00000000">
              <w:rPr>
                <w:rFonts w:ascii="Calibri" w:cs="Calibri" w:eastAsia="Calibri" w:hAnsi="Calibri"/>
                <w:b w:val="1"/>
                <w:bCs w:val="1"/>
                <w:color w:val="ffffff"/>
                <w:sz w:val="19"/>
                <w:szCs w:val="19"/>
                <w:rtl w:val="0"/>
              </w:rPr>
              <w:t xml:space="preserve">Live rule checked</w:t>
            </w:r>
            <w:r w:rsidDel="00000000" w:rsidR="00000000" w:rsidRPr="00000000">
              <w:rPr>
                <w:rtl w:val="0"/>
              </w:rPr>
            </w:r>
          </w:p>
        </w:tc>
        <w:tc>
          <w:tcPr>
            <w:shd w:fill="17365d" w:val="clear"/>
            <w:tcMar>
              <w:top w:w="110.0" w:type="dxa"/>
              <w:left w:w="120.0" w:type="dxa"/>
              <w:bottom w:w="110.0" w:type="dxa"/>
              <w:right w:w="120.0" w:type="dxa"/>
            </w:tcMar>
          </w:tcPr>
          <w:p w:rsidR="00000000" w:rsidDel="00000000" w:rsidP="00000000" w:rsidRDefault="00000000" w:rsidRPr="00000000" w14:paraId="00000153">
            <w:pPr>
              <w:rPr>
                <w:rFonts w:ascii="Calibri" w:cs="Calibri" w:eastAsia="Calibri" w:hAnsi="Calibri"/>
              </w:rPr>
            </w:pPr>
            <w:r w:rsidDel="00000000" w:rsidR="00000000" w:rsidRPr="00000000">
              <w:rPr>
                <w:rFonts w:ascii="Calibri" w:cs="Calibri" w:eastAsia="Calibri" w:hAnsi="Calibri"/>
                <w:b w:val="1"/>
                <w:bCs w:val="1"/>
                <w:color w:val="ffffff"/>
                <w:sz w:val="19"/>
                <w:szCs w:val="19"/>
                <w:rtl w:val="0"/>
              </w:rPr>
              <w:t xml:space="preserve">Change/action</w:t>
            </w:r>
            <w:r w:rsidDel="00000000" w:rsidR="00000000" w:rsidRPr="00000000">
              <w:rPr>
                <w:rtl w:val="0"/>
              </w:rPr>
            </w:r>
          </w:p>
        </w:tc>
      </w:tr>
      <w:tr>
        <w:trPr>
          <w:cantSplit w:val="0"/>
          <w:tblHeader w:val="0"/>
        </w:trPr>
        <w:tc>
          <w:tcPr/>
          <w:p w:rsidR="00000000" w:rsidDel="00000000" w:rsidP="00000000" w:rsidRDefault="00000000" w:rsidRPr="00000000" w14:paraId="00000154">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55">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56">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57">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r>
      <w:tr>
        <w:trPr>
          <w:cantSplit w:val="0"/>
          <w:tblHeader w:val="0"/>
        </w:trPr>
        <w:tc>
          <w:tcPr/>
          <w:p w:rsidR="00000000" w:rsidDel="00000000" w:rsidP="00000000" w:rsidRDefault="00000000" w:rsidRPr="00000000" w14:paraId="00000158">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59">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5A">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5B">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r>
      <w:tr>
        <w:trPr>
          <w:cantSplit w:val="0"/>
          <w:tblHeader w:val="0"/>
        </w:trPr>
        <w:tc>
          <w:tcPr/>
          <w:p w:rsidR="00000000" w:rsidDel="00000000" w:rsidP="00000000" w:rsidRDefault="00000000" w:rsidRPr="00000000" w14:paraId="0000015C">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5D">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5E">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5F">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r>
      <w:tr>
        <w:trPr>
          <w:cantSplit w:val="0"/>
          <w:tblHeader w:val="0"/>
        </w:trPr>
        <w:tc>
          <w:tcPr/>
          <w:p w:rsidR="00000000" w:rsidDel="00000000" w:rsidP="00000000" w:rsidRDefault="00000000" w:rsidRPr="00000000" w14:paraId="00000160">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61">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62">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c>
          <w:tcPr/>
          <w:p w:rsidR="00000000" w:rsidDel="00000000" w:rsidP="00000000" w:rsidRDefault="00000000" w:rsidRPr="00000000" w14:paraId="00000163">
            <w:pPr>
              <w:rPr>
                <w:rFonts w:ascii="Calibri" w:cs="Calibri" w:eastAsia="Calibri" w:hAnsi="Calibri"/>
              </w:rPr>
            </w:pPr>
            <w:r w:rsidDel="00000000" w:rsidR="00000000" w:rsidRPr="00000000">
              <w:rPr>
                <w:rFonts w:ascii="Calibri" w:cs="Calibri" w:eastAsia="Calibri" w:hAnsi="Calibri"/>
                <w:i w:val="1"/>
                <w:iCs w:val="1"/>
                <w:color w:val="5e6b75"/>
                <w:sz w:val="18"/>
                <w:szCs w:val="18"/>
                <w:rtl w:val="0"/>
              </w:rPr>
              <w:t xml:space="preserve">[Enter]</w:t>
            </w:r>
            <w:r w:rsidDel="00000000" w:rsidR="00000000" w:rsidRPr="00000000">
              <w:rPr>
                <w:rtl w:val="0"/>
              </w:rPr>
            </w:r>
          </w:p>
        </w:tc>
      </w:tr>
    </w:tbl>
    <w:p w:rsidR="00000000" w:rsidDel="00000000" w:rsidP="00000000" w:rsidRDefault="00000000" w:rsidRPr="00000000" w14:paraId="00000164">
      <w:pPr>
        <w:pStyle w:val="Heading2"/>
        <w:rPr/>
      </w:pPr>
      <w:r w:rsidDel="00000000" w:rsidR="00000000" w:rsidRPr="00000000">
        <w:rPr>
          <w:rtl w:val="0"/>
        </w:rPr>
        <w:t xml:space="preserve">Notes</w:t>
      </w:r>
    </w:p>
    <w:tbl>
      <w:tblPr>
        <w:tblStyle w:val="Table26"/>
        <w:tblW w:w="9360.0" w:type="dxa"/>
        <w:jc w:val="left"/>
        <w:tblInd w:w="-50.0" w:type="dxa"/>
        <w:tblLayout w:type="fixed"/>
        <w:tblLook w:val="0400"/>
      </w:tblPr>
      <w:tblGrid>
        <w:gridCol w:w="9360"/>
        <w:tblGridChange w:id="0">
          <w:tblGrid>
            <w:gridCol w:w="9360"/>
          </w:tblGrid>
        </w:tblGridChange>
      </w:tblGrid>
      <w:tr>
        <w:trPr>
          <w:cantSplit w:val="0"/>
          <w:tblHeader w:val="0"/>
        </w:trPr>
        <w:tc>
          <w:tcPr>
            <w:shd w:fill="fafbfc" w:val="clear"/>
            <w:tcMar>
              <w:top w:w="160.0" w:type="dxa"/>
              <w:left w:w="170.0" w:type="dxa"/>
              <w:bottom w:w="160.0" w:type="dxa"/>
              <w:right w:w="170.0" w:type="dxa"/>
            </w:tcMar>
          </w:tcPr>
          <w:p w:rsidR="00000000" w:rsidDel="00000000" w:rsidP="00000000" w:rsidRDefault="00000000" w:rsidRPr="00000000" w14:paraId="00000165">
            <w:pPr>
              <w:rPr>
                <w:rFonts w:ascii="Calibri" w:cs="Calibri" w:eastAsia="Calibri" w:hAnsi="Calibri"/>
              </w:rPr>
            </w:pPr>
            <w:r w:rsidDel="00000000" w:rsidR="00000000" w:rsidRPr="00000000">
              <w:rPr>
                <w:rFonts w:ascii="Calibri" w:cs="Calibri" w:eastAsia="Calibri" w:hAnsi="Calibri"/>
                <w:i w:val="1"/>
                <w:iCs w:val="1"/>
                <w:color w:val="5e6b75"/>
                <w:sz w:val="21"/>
                <w:szCs w:val="21"/>
                <w:rtl w:val="0"/>
              </w:rPr>
              <w:t xml:space="preserve">[Record client-specific eligibility, topic-fit, IP, partner, deadline, or portal notes here.]</w:t>
            </w:r>
            <w:r w:rsidDel="00000000" w:rsidR="00000000" w:rsidRPr="00000000">
              <w:rPr>
                <w:rtl w:val="0"/>
              </w:rPr>
            </w:r>
          </w:p>
          <w:p w:rsidR="00000000" w:rsidDel="00000000" w:rsidP="00000000" w:rsidRDefault="00000000" w:rsidRPr="00000000" w14:paraId="0000016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6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6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169">
      <w:pPr>
        <w:spacing w:before="240" w:lineRule="auto"/>
        <w:jc w:val="center"/>
        <w:rPr>
          <w:rFonts w:ascii="Calibri" w:cs="Calibri" w:eastAsia="Calibri" w:hAnsi="Calibri"/>
        </w:rPr>
      </w:pPr>
      <w:r w:rsidDel="00000000" w:rsidR="00000000" w:rsidRPr="00000000">
        <w:rPr>
          <w:rFonts w:ascii="Calibri" w:cs="Calibri" w:eastAsia="Calibri" w:hAnsi="Calibri"/>
          <w:i w:val="1"/>
          <w:iCs w:val="1"/>
          <w:color w:val="5e6b75"/>
          <w:sz w:val="19"/>
          <w:szCs w:val="19"/>
          <w:rtl w:val="0"/>
        </w:rPr>
        <w:t xml:space="preserve">End of workbook</w:t>
      </w:r>
      <w:r w:rsidDel="00000000" w:rsidR="00000000" w:rsidRPr="00000000">
        <w:rPr>
          <w:rtl w:val="0"/>
        </w:rPr>
      </w:r>
    </w:p>
    <w:sectPr>
      <w:headerReference r:id="rId15" w:type="default"/>
      <w:footerReference r:id="rId16" w:type="default"/>
      <w:pgSz w:h="15840" w:w="12240" w:orient="portrait"/>
      <w:pgMar w:bottom="835" w:top="893" w:left="1440" w:right="1440" w:header="605" w:footer="60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color w:val="666666"/>
        <w:sz w:val="12"/>
        <w:szCs w:val="12"/>
      </w:rPr>
    </w:pPr>
    <w:r w:rsidDel="00000000" w:rsidR="00000000" w:rsidRPr="00000000">
      <w:rPr>
        <w:b w:val="1"/>
        <w:bCs w:val="1"/>
        <w:color w:val="666666"/>
        <w:sz w:val="12"/>
        <w:szCs w:val="12"/>
        <w:rtl w:val="0"/>
      </w:rPr>
      <w:t xml:space="preserve">© E.B. Howard Consulting. All rights reserved.</w:t>
    </w:r>
    <w:r w:rsidDel="00000000" w:rsidR="00000000" w:rsidRPr="00000000">
      <w:rPr>
        <w:color w:val="666666"/>
        <w:sz w:val="12"/>
        <w:szCs w:val="12"/>
        <w:rtl w:val="0"/>
      </w:rPr>
      <w:t xml:space="preserve"> This template is proprietary to E.B. Howard Consulting is provided for informational and planning purposes only. It does not constitute legal, regulatory, or funding-agency advice and does not guarantee eligibility, invitation, award, or funding. DOE SBIR/STTR requirements, guidance, deadlines, eligibility criteria, and submission procedures are subject to change at any time. Users are responsible for reviewing and complying with the current official DOE solicitation, funding opportunity, and agency guidance before submission. In the event of any discrepancy, official DOE requirements and guidance control. E.B. Howard Consulting assumes no responsibility or liability for changes to agency requirements or for reliance on outdated, incomplete, or superseded information.</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sz w:val="12"/>
        <w:szCs w:val="12"/>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color w:val="000000"/>
        <w:sz w:val="16"/>
        <w:szCs w:val="16"/>
      </w:rPr>
    </w:pPr>
    <w:r w:rsidDel="00000000" w:rsidR="00000000" w:rsidRPr="00000000">
      <w:rPr>
        <w:color w:val="000000"/>
        <w:sz w:val="16"/>
        <w:szCs w:val="16"/>
        <w:rtl w:val="0"/>
      </w:rPr>
      <w:t xml:space="preserve">Page </w:t>
    </w: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of </w:t>
    </w:r>
    <w:r w:rsidDel="00000000" w:rsidR="00000000" w:rsidRPr="00000000">
      <w:rPr>
        <w:color w:val="000000"/>
        <w:sz w:val="16"/>
        <w:szCs w:val="16"/>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6E">
      <w:pPr>
        <w:spacing w:after="0" w:line="240" w:lineRule="auto"/>
        <w:rPr>
          <w:sz w:val="14"/>
          <w:szCs w:val="14"/>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14"/>
          <w:szCs w:val="14"/>
          <w:rtl w:val="0"/>
        </w:rPr>
        <w:t xml:space="preserve">The pitch itself is not evaluated separately as SBIR or STTR. Final pathway selection occurs at the full-application stage, subject to eligibility.</w:t>
      </w:r>
    </w:p>
    <w:p w:rsidR="00000000" w:rsidDel="00000000" w:rsidP="00000000" w:rsidRDefault="00000000" w:rsidRPr="00000000" w14:paraId="0000016F">
      <w:pPr>
        <w:spacing w:after="0" w:line="240" w:lineRule="auto"/>
        <w:rPr>
          <w:sz w:val="14"/>
          <w:szCs w:val="14"/>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222222"/>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5e6b75"/>
        <w:sz w:val="17"/>
        <w:szCs w:val="17"/>
        <w:u w:val="none"/>
        <w:shd w:fill="auto" w:val="clear"/>
        <w:vertAlign w:val="baseline"/>
        <w:rtl w:val="0"/>
      </w:rPr>
      <w:t xml:space="preserve">DOE SBIR/STTR PROJECT PITCH | CLIENT WORKBOOK</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color w:val="222222"/>
        <w:lang w:val="en"/>
      </w:rPr>
    </w:rPrDefault>
    <w:pPrDefault>
      <w:pPr>
        <w:spacing w:after="80" w:line="26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40" w:before="240" w:lineRule="auto"/>
    </w:pPr>
    <w:rPr>
      <w:rFonts w:ascii="Calibri" w:cs="Calibri" w:eastAsia="Calibri" w:hAnsi="Calibri"/>
      <w:b w:val="1"/>
      <w:bCs w:val="1"/>
      <w:color w:val="2e74b5"/>
      <w:sz w:val="30"/>
      <w:szCs w:val="30"/>
    </w:rPr>
  </w:style>
  <w:style w:type="paragraph" w:styleId="Heading2">
    <w:name w:val="heading 2"/>
    <w:basedOn w:val="Normal"/>
    <w:next w:val="Normal"/>
    <w:pPr>
      <w:keepNext w:val="1"/>
      <w:keepLines w:val="1"/>
      <w:spacing w:after="100" w:before="180" w:lineRule="auto"/>
    </w:pPr>
    <w:rPr>
      <w:rFonts w:ascii="Calibri" w:cs="Calibri" w:eastAsia="Calibri" w:hAnsi="Calibri"/>
      <w:b w:val="1"/>
      <w:bCs w:val="1"/>
      <w:color w:val="2e74b5"/>
      <w:sz w:val="25"/>
      <w:szCs w:val="25"/>
    </w:rPr>
  </w:style>
  <w:style w:type="paragraph" w:styleId="Heading3">
    <w:name w:val="heading 3"/>
    <w:basedOn w:val="Normal"/>
    <w:next w:val="Normal"/>
    <w:pPr>
      <w:keepNext w:val="1"/>
      <w:keepLines w:val="1"/>
      <w:spacing w:before="140" w:lineRule="auto"/>
    </w:pPr>
    <w:rPr>
      <w:rFonts w:ascii="Calibri" w:cs="Calibri" w:eastAsia="Calibri" w:hAnsi="Calibri"/>
      <w:b w:val="1"/>
      <w:bCs w:val="1"/>
      <w:color w:val="17365d"/>
      <w:sz w:val="23"/>
      <w:szCs w:val="23"/>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keepNext w:val="1"/>
      <w:pBdr>
        <w:bottom w:color="4f81bd" w:space="4" w:sz="8" w:val="single"/>
      </w:pBdr>
      <w:spacing w:after="160" w:line="240" w:lineRule="auto"/>
    </w:pPr>
    <w:rPr>
      <w:rFonts w:ascii="Calibri" w:cs="Calibri" w:eastAsia="Calibri" w:hAnsi="Calibri"/>
      <w:b w:val="1"/>
      <w:bCs w:val="1"/>
      <w:color w:val="17365d"/>
      <w:sz w:val="56"/>
      <w:szCs w:val="56"/>
    </w:rPr>
  </w:style>
  <w:style w:type="paragraph" w:styleId="Subtitle">
    <w:name w:val="Subtitle"/>
    <w:basedOn w:val="Normal"/>
    <w:next w:val="Normal"/>
    <w:pPr>
      <w:keepNext w:val="1"/>
      <w:spacing w:after="240" w:lineRule="auto"/>
    </w:pPr>
    <w:rPr>
      <w:rFonts w:ascii="Calibri" w:cs="Calibri" w:eastAsia="Calibri" w:hAnsi="Calibri"/>
      <w:i w:val="1"/>
      <w:iCs w:val="1"/>
      <w:color w:val="5e6b75"/>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bir-sttr.connectwerx.org/portfolio-items/fy26genesismission/" TargetMode="External"/><Relationship Id="rId10" Type="http://schemas.openxmlformats.org/officeDocument/2006/relationships/hyperlink" Target="https://sbir-sttr.connectwerx.org/resources/" TargetMode="External"/><Relationship Id="rId13" Type="http://schemas.openxmlformats.org/officeDocument/2006/relationships/hyperlink" Target="https://www.energy.gov/technologycommercialization/required-sbirsttr-registrations" TargetMode="External"/><Relationship Id="rId12" Type="http://schemas.openxmlformats.org/officeDocument/2006/relationships/hyperlink" Target="https://sbir-sttr.connectwerx.org/eligibility-criteri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bir-sttr.connectwerx.org/" TargetMode="External"/><Relationship Id="rId15" Type="http://schemas.openxmlformats.org/officeDocument/2006/relationships/header" Target="header1.xml"/><Relationship Id="rId14" Type="http://schemas.openxmlformats.org/officeDocument/2006/relationships/hyperlink" Target="https://www.energy.gov/technologycommercialization/sbirsttr-program-policy-factors"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energy.gov/technologycommercialization/doe-small-business-innovation-research-sbir-and-small-business" TargetMode="External"/><Relationship Id="rId8" Type="http://schemas.openxmlformats.org/officeDocument/2006/relationships/hyperlink" Target="https://www.energy.gov/technologycommercialization/sbirsttr-applicant-resources-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